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D6" w:rsidRDefault="00EA72D6" w:rsidP="00EA72D6">
      <w:pPr>
        <w:spacing w:after="0" w:line="240" w:lineRule="auto"/>
        <w:rPr>
          <w:rFonts w:eastAsia="Times New Roman"/>
          <w:vertAlign w:val="superscript"/>
          <w:lang w:val="es-ES"/>
        </w:rPr>
      </w:pPr>
      <w:r>
        <w:rPr>
          <w:rFonts w:eastAsia="Times New Roman"/>
          <w:b/>
          <w:bCs/>
          <w:lang w:val="es-ES"/>
        </w:rPr>
        <w:t>TL 9 (</w:t>
      </w:r>
      <w:r w:rsidR="00D45B6D" w:rsidRPr="00974CA9">
        <w:rPr>
          <w:rFonts w:eastAsia="Times New Roman"/>
          <w:b/>
          <w:bCs/>
          <w:lang w:val="es-ES"/>
        </w:rPr>
        <w:t>Nº11</w:t>
      </w:r>
      <w:r>
        <w:rPr>
          <w:rFonts w:eastAsia="Times New Roman"/>
          <w:b/>
          <w:bCs/>
          <w:lang w:val="es-ES"/>
        </w:rPr>
        <w:t>)</w:t>
      </w:r>
      <w:r w:rsidR="00D45B6D" w:rsidRPr="00974CA9">
        <w:rPr>
          <w:rFonts w:eastAsia="Times New Roman"/>
          <w:b/>
          <w:bCs/>
          <w:lang w:val="es-ES"/>
        </w:rPr>
        <w:br/>
        <w:t xml:space="preserve">LA VIGILANCIA ACTIVA ES UNA ALTERNATIVA SEGURA EN PACIENTES SELECCIONADOS CON CÁNCER PAPILAR DE TIROIDES Y PERSISTENCIA ESTRUCTURAL GANGLIONAR </w:t>
      </w:r>
      <w:r w:rsidR="00D45B6D" w:rsidRPr="00974CA9">
        <w:rPr>
          <w:rFonts w:eastAsia="Times New Roman"/>
          <w:lang w:val="es-ES"/>
        </w:rPr>
        <w:br/>
      </w:r>
      <w:r w:rsidR="00D45B6D" w:rsidRPr="00974CA9">
        <w:rPr>
          <w:rFonts w:eastAsia="Times New Roman"/>
          <w:b/>
          <w:bCs/>
          <w:lang w:val="es-ES"/>
        </w:rPr>
        <w:t xml:space="preserve">Autor y Coautores: </w:t>
      </w:r>
      <w:r w:rsidR="00D45B6D" w:rsidRPr="00974CA9">
        <w:rPr>
          <w:rFonts w:eastAsia="Times New Roman"/>
          <w:lang w:val="es-ES"/>
        </w:rPr>
        <w:t>MARLIN SOLORZANO RODRÍGUEZ</w:t>
      </w:r>
      <w:r w:rsidR="00D45B6D" w:rsidRPr="00974CA9">
        <w:rPr>
          <w:rFonts w:eastAsia="Times New Roman"/>
          <w:vertAlign w:val="superscript"/>
          <w:lang w:val="es-ES"/>
        </w:rPr>
        <w:t>1</w:t>
      </w:r>
      <w:r w:rsidR="00712DAA">
        <w:rPr>
          <w:rFonts w:eastAsia="Times New Roman"/>
          <w:vertAlign w:val="superscript"/>
          <w:lang w:val="es-ES"/>
        </w:rPr>
        <w:t xml:space="preserve">, </w:t>
      </w:r>
      <w:r w:rsidR="00712DAA">
        <w:rPr>
          <w:rFonts w:eastAsia="Times New Roman"/>
          <w:lang w:val="es-ES"/>
        </w:rPr>
        <w:t>MARTIN ESPINOZA</w:t>
      </w:r>
      <w:r w:rsidR="00712DAA">
        <w:rPr>
          <w:rFonts w:eastAsia="Times New Roman"/>
          <w:vertAlign w:val="superscript"/>
          <w:lang w:val="es-ES"/>
        </w:rPr>
        <w:t xml:space="preserve">1, </w:t>
      </w:r>
      <w:r w:rsidR="00712DAA">
        <w:rPr>
          <w:rFonts w:eastAsia="Times New Roman"/>
          <w:lang w:val="es-ES"/>
        </w:rPr>
        <w:t>ROBERTO SANATANA</w:t>
      </w:r>
      <w:r w:rsidR="00712DAA">
        <w:rPr>
          <w:rFonts w:eastAsia="Times New Roman"/>
          <w:vertAlign w:val="superscript"/>
          <w:lang w:val="es-ES"/>
        </w:rPr>
        <w:t xml:space="preserve">1, </w:t>
      </w:r>
      <w:r w:rsidR="00712DAA">
        <w:rPr>
          <w:rFonts w:eastAsia="Times New Roman"/>
          <w:lang w:val="es-ES"/>
        </w:rPr>
        <w:t>HERNÁN GONZÁLEZ</w:t>
      </w:r>
      <w:r w:rsidR="00712DAA">
        <w:rPr>
          <w:rFonts w:eastAsia="Times New Roman"/>
          <w:vertAlign w:val="superscript"/>
          <w:lang w:val="es-ES"/>
        </w:rPr>
        <w:t>2,</w:t>
      </w:r>
      <w:r w:rsidR="00712DAA">
        <w:rPr>
          <w:rFonts w:eastAsia="Times New Roman"/>
          <w:lang w:val="es-ES"/>
        </w:rPr>
        <w:t xml:space="preserve"> PABLO MONTERO</w:t>
      </w:r>
      <w:r w:rsidR="00712DAA">
        <w:rPr>
          <w:rFonts w:eastAsia="Times New Roman"/>
          <w:vertAlign w:val="superscript"/>
          <w:lang w:val="es-ES"/>
        </w:rPr>
        <w:t>2,</w:t>
      </w:r>
      <w:r w:rsidR="00712DAA">
        <w:rPr>
          <w:rFonts w:eastAsia="Times New Roman"/>
          <w:lang w:val="es-ES"/>
        </w:rPr>
        <w:t xml:space="preserve"> FRANCISCO CRUZ</w:t>
      </w:r>
      <w:r w:rsidR="00712DAA">
        <w:rPr>
          <w:rFonts w:eastAsia="Times New Roman"/>
          <w:vertAlign w:val="superscript"/>
          <w:lang w:val="es-ES"/>
        </w:rPr>
        <w:t xml:space="preserve">3, </w:t>
      </w:r>
      <w:r w:rsidR="00712DAA">
        <w:rPr>
          <w:rFonts w:eastAsia="Times New Roman"/>
          <w:lang w:val="es-ES"/>
        </w:rPr>
        <w:t>ANTONIETA SOLAR</w:t>
      </w:r>
      <w:r w:rsidR="00712DAA">
        <w:rPr>
          <w:rFonts w:eastAsia="Times New Roman"/>
          <w:vertAlign w:val="superscript"/>
          <w:lang w:val="es-ES"/>
        </w:rPr>
        <w:t>4,</w:t>
      </w:r>
      <w:r w:rsidR="00712DAA">
        <w:rPr>
          <w:rFonts w:eastAsia="Times New Roman"/>
          <w:lang w:val="es-ES"/>
        </w:rPr>
        <w:t xml:space="preserve"> JOSÉ MIGUEL DOMÍNGUEZ</w:t>
      </w:r>
      <w:r w:rsidR="00712DAA">
        <w:rPr>
          <w:rFonts w:eastAsia="Times New Roman"/>
          <w:vertAlign w:val="superscript"/>
          <w:lang w:val="es-ES"/>
        </w:rPr>
        <w:t>5</w:t>
      </w:r>
    </w:p>
    <w:p w:rsidR="00712DAA" w:rsidRPr="00712DAA" w:rsidRDefault="00D45B6D" w:rsidP="00EA72D6">
      <w:pPr>
        <w:spacing w:after="0" w:line="240" w:lineRule="auto"/>
        <w:rPr>
          <w:rFonts w:eastAsia="Times New Roman"/>
          <w:vertAlign w:val="superscript"/>
          <w:lang w:val="es-ES"/>
        </w:rPr>
      </w:pPr>
      <w:r w:rsidRPr="00974CA9">
        <w:rPr>
          <w:rFonts w:eastAsia="Times New Roman"/>
          <w:b/>
          <w:bCs/>
          <w:lang w:val="es-ES"/>
        </w:rPr>
        <w:t xml:space="preserve">Lugar de Trabajo: </w:t>
      </w:r>
      <w:r w:rsidRPr="00974CA9">
        <w:rPr>
          <w:rFonts w:eastAsia="Times New Roman"/>
          <w:vertAlign w:val="superscript"/>
          <w:lang w:val="es-ES"/>
        </w:rPr>
        <w:t>1</w:t>
      </w:r>
      <w:r w:rsidRPr="00974CA9">
        <w:rPr>
          <w:rFonts w:eastAsia="Times New Roman"/>
          <w:lang w:val="es-ES"/>
        </w:rPr>
        <w:t xml:space="preserve"> Departamento Endocrinología - Pontificia Universidad Católica de Chile</w:t>
      </w:r>
      <w:r w:rsidR="00712DAA">
        <w:rPr>
          <w:rFonts w:eastAsia="Times New Roman"/>
          <w:lang w:val="es-ES"/>
        </w:rPr>
        <w:t xml:space="preserve">, </w:t>
      </w:r>
      <w:r w:rsidR="00712DAA">
        <w:rPr>
          <w:rFonts w:eastAsia="Times New Roman"/>
          <w:vertAlign w:val="superscript"/>
          <w:lang w:val="es-ES"/>
        </w:rPr>
        <w:t xml:space="preserve">2 </w:t>
      </w:r>
      <w:r w:rsidR="00712DAA" w:rsidRPr="00712DAA">
        <w:rPr>
          <w:rFonts w:eastAsia="Times New Roman"/>
          <w:lang w:val="es-ES"/>
        </w:rPr>
        <w:t>Departamento de Cirugía de Cabeza y Cuello, Escuela de Medicina, Pontificia Universidad Católica de Chile</w:t>
      </w:r>
      <w:r w:rsidR="00712DAA">
        <w:rPr>
          <w:rFonts w:eastAsia="Times New Roman"/>
          <w:lang w:val="es-ES"/>
        </w:rPr>
        <w:t xml:space="preserve">, </w:t>
      </w:r>
      <w:r w:rsidR="00712DAA">
        <w:rPr>
          <w:rFonts w:eastAsia="Times New Roman"/>
          <w:vertAlign w:val="superscript"/>
          <w:lang w:val="es-ES"/>
        </w:rPr>
        <w:t>3</w:t>
      </w:r>
      <w:r w:rsidR="00712DAA" w:rsidRPr="00712DAA">
        <w:rPr>
          <w:rFonts w:eastAsia="Times New Roman"/>
          <w:lang w:val="es-ES"/>
        </w:rPr>
        <w:t xml:space="preserve"> Departamento de Radiología, Escuela de Medicina, Pontificia Universidad Católica de Chile</w:t>
      </w:r>
      <w:r w:rsidR="00712DAA">
        <w:rPr>
          <w:rFonts w:eastAsia="Times New Roman"/>
          <w:lang w:val="es-ES"/>
        </w:rPr>
        <w:t xml:space="preserve">, </w:t>
      </w:r>
      <w:r w:rsidR="00712DAA">
        <w:rPr>
          <w:rFonts w:eastAsia="Times New Roman"/>
          <w:vertAlign w:val="superscript"/>
          <w:lang w:val="es-ES"/>
        </w:rPr>
        <w:t>4</w:t>
      </w:r>
      <w:r w:rsidR="00712DAA">
        <w:rPr>
          <w:rFonts w:eastAsia="Times New Roman"/>
          <w:lang w:val="es-ES"/>
        </w:rPr>
        <w:t xml:space="preserve"> </w:t>
      </w:r>
      <w:r w:rsidR="00712DAA" w:rsidRPr="00712DAA">
        <w:rPr>
          <w:rFonts w:eastAsia="Times New Roman"/>
          <w:lang w:val="es-ES"/>
        </w:rPr>
        <w:t>Departamento de Anatomía Patológica, Escuela de Medicina, Pontificia Universidad Católica de Chile</w:t>
      </w:r>
      <w:r w:rsidR="00712DAA">
        <w:rPr>
          <w:rFonts w:eastAsia="Times New Roman"/>
          <w:lang w:val="es-ES"/>
        </w:rPr>
        <w:t xml:space="preserve">, </w:t>
      </w:r>
      <w:r w:rsidR="00712DAA">
        <w:rPr>
          <w:rFonts w:eastAsia="Times New Roman"/>
          <w:vertAlign w:val="superscript"/>
          <w:lang w:val="es-ES"/>
        </w:rPr>
        <w:t xml:space="preserve">5 </w:t>
      </w:r>
      <w:r w:rsidR="00712DAA" w:rsidRPr="00712DAA">
        <w:rPr>
          <w:rFonts w:eastAsia="Times New Roman"/>
          <w:lang w:val="es-ES"/>
        </w:rPr>
        <w:t xml:space="preserve">Departamento de Endocrinología, Escuela de Medicina, Pontificia Universidad Católica de Chile; CETREN: Centro de estudios </w:t>
      </w:r>
      <w:proofErr w:type="spellStart"/>
      <w:r w:rsidR="00712DAA" w:rsidRPr="00712DAA">
        <w:rPr>
          <w:rFonts w:eastAsia="Times New Roman"/>
          <w:lang w:val="es-ES"/>
        </w:rPr>
        <w:t>traslacionales</w:t>
      </w:r>
      <w:proofErr w:type="spellEnd"/>
      <w:r w:rsidR="00712DAA" w:rsidRPr="00712DAA">
        <w:rPr>
          <w:rFonts w:eastAsia="Times New Roman"/>
          <w:lang w:val="es-ES"/>
        </w:rPr>
        <w:t xml:space="preserve"> de Endocrinología UC</w:t>
      </w:r>
    </w:p>
    <w:p w:rsidR="0059711C" w:rsidRPr="00974CA9" w:rsidRDefault="00D45B6D" w:rsidP="00EA72D6">
      <w:pPr>
        <w:spacing w:after="0" w:line="240" w:lineRule="auto"/>
        <w:rPr>
          <w:rFonts w:eastAsia="Times New Roman"/>
          <w:sz w:val="24"/>
          <w:szCs w:val="24"/>
          <w:lang w:val="es-ES"/>
        </w:rPr>
      </w:pPr>
      <w:r w:rsidRPr="00974CA9">
        <w:rPr>
          <w:rFonts w:eastAsia="Times New Roman"/>
          <w:b/>
          <w:bCs/>
          <w:lang w:val="es-ES"/>
        </w:rPr>
        <w:t xml:space="preserve">Contenido: </w:t>
      </w:r>
    </w:p>
    <w:p w:rsidR="0059711C" w:rsidRPr="00B1432B" w:rsidRDefault="00D45B6D" w:rsidP="00EA72D6">
      <w:pPr>
        <w:pStyle w:val="NormalWeb"/>
        <w:spacing w:before="0" w:beforeAutospacing="0" w:after="0" w:afterAutospacing="0"/>
        <w:jc w:val="both"/>
        <w:rPr>
          <w:rFonts w:asciiTheme="minorHAnsi" w:hAnsiTheme="minorHAnsi" w:cstheme="minorHAnsi"/>
          <w:lang w:val="es-ES"/>
        </w:rPr>
      </w:pPr>
      <w:r w:rsidRPr="00B1432B">
        <w:rPr>
          <w:rFonts w:asciiTheme="minorHAnsi" w:hAnsiTheme="minorHAnsi" w:cstheme="minorHAnsi"/>
          <w:lang w:val="es-ES"/>
        </w:rPr>
        <w:t xml:space="preserve">Después del tratamiento inicial, cerca de 30% de los pacientes con cáncer papilar de tiroides (CPT) tienen respuesta incompleta, principalmente enfermedad estructural ganglionar cervical. Estudios internacionales han reportado que, en pacientes seleccionados, la vigilancia activa (VA) es una alternativa segura para estos pacientes, con una frecuencia de progresión entre 10% y 25%. </w:t>
      </w:r>
      <w:r w:rsidRPr="00B1432B">
        <w:rPr>
          <w:rStyle w:val="Textoennegrita"/>
          <w:rFonts w:asciiTheme="minorHAnsi" w:hAnsiTheme="minorHAnsi" w:cstheme="minorHAnsi"/>
          <w:lang w:val="es-ES"/>
        </w:rPr>
        <w:t>Objetivo:</w:t>
      </w:r>
      <w:r w:rsidRPr="00B1432B">
        <w:rPr>
          <w:rFonts w:asciiTheme="minorHAnsi" w:hAnsiTheme="minorHAnsi" w:cstheme="minorHAnsi"/>
          <w:lang w:val="es-ES"/>
        </w:rPr>
        <w:t xml:space="preserve"> reportar los resultados de VA en pacientes con CPT y enfermedad estructural ganglionar cervical. </w:t>
      </w:r>
      <w:r w:rsidRPr="00B1432B">
        <w:rPr>
          <w:rStyle w:val="Textoennegrita"/>
          <w:rFonts w:asciiTheme="minorHAnsi" w:hAnsiTheme="minorHAnsi" w:cstheme="minorHAnsi"/>
          <w:lang w:val="es-ES"/>
        </w:rPr>
        <w:t>Diseño:</w:t>
      </w:r>
      <w:r w:rsidRPr="00B1432B">
        <w:rPr>
          <w:rFonts w:asciiTheme="minorHAnsi" w:hAnsiTheme="minorHAnsi" w:cstheme="minorHAnsi"/>
          <w:lang w:val="es-ES"/>
        </w:rPr>
        <w:t xml:space="preserve"> estudio retrospectivo observacional. </w:t>
      </w:r>
      <w:r w:rsidRPr="00B1432B">
        <w:rPr>
          <w:rStyle w:val="Textoennegrita"/>
          <w:rFonts w:asciiTheme="minorHAnsi" w:hAnsiTheme="minorHAnsi" w:cstheme="minorHAnsi"/>
          <w:lang w:val="es-ES"/>
        </w:rPr>
        <w:t>Métodos:</w:t>
      </w:r>
      <w:r w:rsidRPr="00B1432B">
        <w:rPr>
          <w:rFonts w:asciiTheme="minorHAnsi" w:hAnsiTheme="minorHAnsi" w:cstheme="minorHAnsi"/>
          <w:lang w:val="es-ES"/>
        </w:rPr>
        <w:t xml:space="preserve"> se incluyeron pacientes tratados por CPT que presentaron enfermedad estructural ganglionar cervical y fueron manejados con VA según los siguientes criterios de inclusión: linfonodos ≥5 mm de diámetro menor con punción </w:t>
      </w:r>
      <w:proofErr w:type="spellStart"/>
      <w:r w:rsidRPr="00B1432B">
        <w:rPr>
          <w:rFonts w:asciiTheme="minorHAnsi" w:hAnsiTheme="minorHAnsi" w:cstheme="minorHAnsi"/>
          <w:lang w:val="es-ES"/>
        </w:rPr>
        <w:t>aspirativa</w:t>
      </w:r>
      <w:proofErr w:type="spellEnd"/>
      <w:r w:rsidRPr="00B1432B">
        <w:rPr>
          <w:rFonts w:asciiTheme="minorHAnsi" w:hAnsiTheme="minorHAnsi" w:cstheme="minorHAnsi"/>
          <w:lang w:val="es-ES"/>
        </w:rPr>
        <w:t xml:space="preserve"> compatible con enfermedad recurrente por citología y/o medición de tiroglobulina en </w:t>
      </w:r>
      <w:proofErr w:type="gramStart"/>
      <w:r w:rsidRPr="00B1432B">
        <w:rPr>
          <w:rFonts w:asciiTheme="minorHAnsi" w:hAnsiTheme="minorHAnsi" w:cstheme="minorHAnsi"/>
          <w:lang w:val="es-ES"/>
        </w:rPr>
        <w:t>aspirado</w:t>
      </w:r>
      <w:proofErr w:type="gramEnd"/>
      <w:r w:rsidRPr="00B1432B">
        <w:rPr>
          <w:rFonts w:asciiTheme="minorHAnsi" w:hAnsiTheme="minorHAnsi" w:cstheme="minorHAnsi"/>
          <w:lang w:val="es-ES"/>
        </w:rPr>
        <w:t xml:space="preserve"> (&gt;10 ng/dL), y/o la presencia de ≥2 criterios ecográficos sospechosos: </w:t>
      </w:r>
      <w:proofErr w:type="spellStart"/>
      <w:r w:rsidRPr="00B1432B">
        <w:rPr>
          <w:rFonts w:asciiTheme="minorHAnsi" w:hAnsiTheme="minorHAnsi" w:cstheme="minorHAnsi"/>
          <w:lang w:val="es-ES"/>
        </w:rPr>
        <w:t>hipoecogenicidad</w:t>
      </w:r>
      <w:proofErr w:type="spellEnd"/>
      <w:r w:rsidRPr="00B1432B">
        <w:rPr>
          <w:rFonts w:asciiTheme="minorHAnsi" w:hAnsiTheme="minorHAnsi" w:cstheme="minorHAnsi"/>
          <w:lang w:val="es-ES"/>
        </w:rPr>
        <w:t xml:space="preserve">, forma redondeada, microcalcificaciones, componente quístico, ausencia de </w:t>
      </w:r>
      <w:proofErr w:type="spellStart"/>
      <w:r w:rsidRPr="00B1432B">
        <w:rPr>
          <w:rFonts w:asciiTheme="minorHAnsi" w:hAnsiTheme="minorHAnsi" w:cstheme="minorHAnsi"/>
          <w:lang w:val="es-ES"/>
        </w:rPr>
        <w:t>hilio</w:t>
      </w:r>
      <w:proofErr w:type="spellEnd"/>
      <w:r w:rsidRPr="00B1432B">
        <w:rPr>
          <w:rFonts w:asciiTheme="minorHAnsi" w:hAnsiTheme="minorHAnsi" w:cstheme="minorHAnsi"/>
          <w:lang w:val="es-ES"/>
        </w:rPr>
        <w:t xml:space="preserve"> y tejido </w:t>
      </w:r>
      <w:proofErr w:type="spellStart"/>
      <w:r w:rsidRPr="00B1432B">
        <w:rPr>
          <w:rFonts w:asciiTheme="minorHAnsi" w:hAnsiTheme="minorHAnsi" w:cstheme="minorHAnsi"/>
          <w:lang w:val="es-ES"/>
        </w:rPr>
        <w:t>hiperecogénico</w:t>
      </w:r>
      <w:proofErr w:type="spellEnd"/>
      <w:r w:rsidRPr="00B1432B">
        <w:rPr>
          <w:rFonts w:asciiTheme="minorHAnsi" w:hAnsiTheme="minorHAnsi" w:cstheme="minorHAnsi"/>
          <w:lang w:val="es-ES"/>
        </w:rPr>
        <w:t xml:space="preserve"> similar al tejido tiroideo. Se excluyeron pacientes con enfermedad ganglionar ≥ 20 mm de diámetro mayor, 18F FDG PET (+) (SUV </w:t>
      </w:r>
      <w:proofErr w:type="spellStart"/>
      <w:r w:rsidRPr="00B1432B">
        <w:rPr>
          <w:rFonts w:asciiTheme="minorHAnsi" w:hAnsiTheme="minorHAnsi" w:cstheme="minorHAnsi"/>
          <w:lang w:val="es-ES"/>
        </w:rPr>
        <w:t>max</w:t>
      </w:r>
      <w:proofErr w:type="spellEnd"/>
      <w:r w:rsidRPr="00B1432B">
        <w:rPr>
          <w:rFonts w:asciiTheme="minorHAnsi" w:hAnsiTheme="minorHAnsi" w:cstheme="minorHAnsi"/>
          <w:lang w:val="es-ES"/>
        </w:rPr>
        <w:t xml:space="preserve"> &gt;5) o metástasis a distancia no resueltas. Los pacientes se siguieron cada 6-12 meses con ecografía cervical, Tg y AcTg. Imágenes adicionales fueron realizadas a criterio del tratante. La TSH se mantuvo &lt;0,1 o 0,1-0,5 U/L según la presencia de comorbilidades individuales. El crecimiento se definió como un aumento ≥3 mm en cualquiera de sus diámetros. </w:t>
      </w:r>
      <w:r w:rsidRPr="00B1432B">
        <w:rPr>
          <w:rStyle w:val="Textoennegrita"/>
          <w:rFonts w:asciiTheme="minorHAnsi" w:hAnsiTheme="minorHAnsi" w:cstheme="minorHAnsi"/>
          <w:lang w:val="es-ES"/>
        </w:rPr>
        <w:t>Resultados:</w:t>
      </w:r>
      <w:r w:rsidRPr="00B1432B">
        <w:rPr>
          <w:rFonts w:asciiTheme="minorHAnsi" w:hAnsiTheme="minorHAnsi" w:cstheme="minorHAnsi"/>
          <w:lang w:val="es-ES"/>
        </w:rPr>
        <w:t xml:space="preserve"> se incluyeron 32 pacientes, 27 (84,4%) mujeres, edad 39±14 años. Veinte (62,5%) CPT usual, 8 (25%) </w:t>
      </w:r>
      <w:proofErr w:type="spellStart"/>
      <w:r w:rsidRPr="00B1432B">
        <w:rPr>
          <w:rFonts w:asciiTheme="minorHAnsi" w:hAnsiTheme="minorHAnsi" w:cstheme="minorHAnsi"/>
          <w:lang w:val="es-ES"/>
        </w:rPr>
        <w:t>usual+variedad</w:t>
      </w:r>
      <w:proofErr w:type="spellEnd"/>
      <w:r w:rsidRPr="00B1432B">
        <w:rPr>
          <w:rFonts w:asciiTheme="minorHAnsi" w:hAnsiTheme="minorHAnsi" w:cstheme="minorHAnsi"/>
          <w:lang w:val="es-ES"/>
        </w:rPr>
        <w:t xml:space="preserve"> folicular, 2 (6,25%) hobnail y 2 (6,25%) células altas, todos tratados inicialmente con tiroidectomía total y 22 (69%) con disección cervical terapéutica. Según ATA, 1 (3,1%), 24 (75%) y 7 (21,9%) eran de riesgo de recurrencia bajo, intermedio y alto, respectivamente. Treinta (94%) recibieron RAI al manejo inicial (115±42 mCi). La enfermedad estructural ganglionar se diagnosticó 1 año (0-5,6) post manejo inicial; diámetro 9,0 mm (6-19); se realizó PAF en 18 (56%) pacientes y la VA se extendió por 4,9 años (0,6-14,7). Se observó crecimiento en 4 (12,5%) pacientes. Hasta la fecha, 2 se han tratado con cirugía, 1 con radioterapia externa porque se estimó alto riesgo de morbilidad quirúrgica y otro paciente tiene cirugía pendiente. Los 3 pacientes lograron control de enfermedad </w:t>
      </w:r>
      <w:proofErr w:type="spellStart"/>
      <w:r w:rsidRPr="00B1432B">
        <w:rPr>
          <w:rFonts w:asciiTheme="minorHAnsi" w:hAnsiTheme="minorHAnsi" w:cstheme="minorHAnsi"/>
          <w:lang w:val="es-ES"/>
        </w:rPr>
        <w:t>locorregional</w:t>
      </w:r>
      <w:proofErr w:type="spellEnd"/>
      <w:r w:rsidRPr="00B1432B">
        <w:rPr>
          <w:rFonts w:asciiTheme="minorHAnsi" w:hAnsiTheme="minorHAnsi" w:cstheme="minorHAnsi"/>
          <w:lang w:val="es-ES"/>
        </w:rPr>
        <w:t xml:space="preserve"> estructural. Adicionalmente, 7 (21,9%) pacientes recibieron algún tratamiento por preferencia propia o recomendación de otro médico: 4 cirugía, 2 </w:t>
      </w:r>
      <w:proofErr w:type="spellStart"/>
      <w:r w:rsidRPr="00B1432B">
        <w:rPr>
          <w:rFonts w:asciiTheme="minorHAnsi" w:hAnsiTheme="minorHAnsi" w:cstheme="minorHAnsi"/>
          <w:lang w:val="es-ES"/>
        </w:rPr>
        <w:t>cirugía+RAI</w:t>
      </w:r>
      <w:proofErr w:type="spellEnd"/>
      <w:r w:rsidRPr="00B1432B">
        <w:rPr>
          <w:rFonts w:asciiTheme="minorHAnsi" w:hAnsiTheme="minorHAnsi" w:cstheme="minorHAnsi"/>
          <w:lang w:val="es-ES"/>
        </w:rPr>
        <w:t xml:space="preserve"> y 1 RAI. Ningún paciente ha fallecido ni ha presentado metástasis a distancia. </w:t>
      </w:r>
      <w:r w:rsidRPr="00B1432B">
        <w:rPr>
          <w:rStyle w:val="Textoennegrita"/>
          <w:rFonts w:asciiTheme="minorHAnsi" w:hAnsiTheme="minorHAnsi" w:cstheme="minorHAnsi"/>
          <w:lang w:val="es-ES"/>
        </w:rPr>
        <w:t>Conclusiones:</w:t>
      </w:r>
      <w:r w:rsidRPr="00B1432B">
        <w:rPr>
          <w:rFonts w:asciiTheme="minorHAnsi" w:hAnsiTheme="minorHAnsi" w:cstheme="minorHAnsi"/>
          <w:lang w:val="es-ES"/>
        </w:rPr>
        <w:t xml:space="preserve"> En pacientes seleccionados con CPT y enfermedad estructural </w:t>
      </w:r>
      <w:proofErr w:type="spellStart"/>
      <w:r w:rsidRPr="00B1432B">
        <w:rPr>
          <w:rFonts w:asciiTheme="minorHAnsi" w:hAnsiTheme="minorHAnsi" w:cstheme="minorHAnsi"/>
          <w:lang w:val="es-ES"/>
        </w:rPr>
        <w:t>locorregional</w:t>
      </w:r>
      <w:proofErr w:type="spellEnd"/>
      <w:r w:rsidRPr="00B1432B">
        <w:rPr>
          <w:rFonts w:asciiTheme="minorHAnsi" w:hAnsiTheme="minorHAnsi" w:cstheme="minorHAnsi"/>
          <w:lang w:val="es-ES"/>
        </w:rPr>
        <w:t>, la VA es una alternativa segura ya que permite identificar y tratar efectivamente a la minoría de pacientes que progresan.</w:t>
      </w:r>
    </w:p>
    <w:p w:rsidR="00D45B6D" w:rsidRPr="00B1432B" w:rsidRDefault="00D45B6D" w:rsidP="00EA72D6">
      <w:pPr>
        <w:spacing w:after="0" w:line="240" w:lineRule="auto"/>
        <w:rPr>
          <w:rFonts w:eastAsia="Times New Roman" w:cstheme="minorHAnsi"/>
        </w:rPr>
      </w:pPr>
      <w:r w:rsidRPr="00B1432B">
        <w:rPr>
          <w:rFonts w:eastAsia="Times New Roman" w:cstheme="minorHAnsi"/>
          <w:lang w:val="es-ES"/>
        </w:rPr>
        <w:br/>
      </w:r>
      <w:bookmarkStart w:id="0" w:name="_GoBack"/>
      <w:bookmarkEnd w:id="0"/>
    </w:p>
    <w:sectPr w:rsidR="00D45B6D" w:rsidRPr="00B1432B" w:rsidSect="00466280">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624D25"/>
    <w:rsid w:val="00466280"/>
    <w:rsid w:val="0059711C"/>
    <w:rsid w:val="00624D25"/>
    <w:rsid w:val="00712DAA"/>
    <w:rsid w:val="00974CA9"/>
    <w:rsid w:val="00B1432B"/>
    <w:rsid w:val="00D45B6D"/>
    <w:rsid w:val="00EA72D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280"/>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6628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2022-10-18T15:42:00Z</dcterms:created>
  <dcterms:modified xsi:type="dcterms:W3CDTF">2022-10-18T15:42:00Z</dcterms:modified>
</cp:coreProperties>
</file>