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AA" w:rsidRDefault="008E219E" w:rsidP="00257AAA">
      <w:pPr>
        <w:spacing w:after="0" w:line="240" w:lineRule="auto"/>
        <w:rPr>
          <w:rFonts w:eastAsia="Times New Roman"/>
          <w:lang w:val="es-ES"/>
        </w:rPr>
      </w:pPr>
      <w:r>
        <w:rPr>
          <w:rFonts w:eastAsia="Times New Roman"/>
          <w:b/>
          <w:bCs/>
          <w:lang w:val="es-ES"/>
        </w:rPr>
        <w:t>TL 8 (</w:t>
      </w:r>
      <w:r w:rsidR="00F724B2" w:rsidRPr="00257AAA">
        <w:rPr>
          <w:rFonts w:eastAsia="Times New Roman"/>
          <w:b/>
          <w:bCs/>
          <w:lang w:val="es-ES"/>
        </w:rPr>
        <w:t>Nº70</w:t>
      </w:r>
      <w:r>
        <w:rPr>
          <w:rFonts w:eastAsia="Times New Roman"/>
          <w:b/>
          <w:bCs/>
          <w:lang w:val="es-ES"/>
        </w:rPr>
        <w:t>)</w:t>
      </w:r>
      <w:r w:rsidR="00F724B2" w:rsidRPr="00257AAA">
        <w:rPr>
          <w:rFonts w:eastAsia="Times New Roman"/>
          <w:b/>
          <w:bCs/>
          <w:lang w:val="es-ES"/>
        </w:rPr>
        <w:br/>
        <w:t>CARACTERIZACIÓN DE LOS NIVELES DE PROLACTINA Y TAMAÑO TUMORAL EN PROLACTINOMAS Y TUMORES HIPOFISARIOS NO FUNCIONANTES</w:t>
      </w:r>
      <w:r w:rsidR="00F724B2" w:rsidRPr="00257AAA">
        <w:rPr>
          <w:rFonts w:eastAsia="Times New Roman"/>
          <w:lang w:val="es-ES"/>
        </w:rPr>
        <w:br/>
      </w:r>
      <w:r w:rsidR="00F724B2" w:rsidRPr="00257AAA">
        <w:rPr>
          <w:rFonts w:eastAsia="Times New Roman"/>
          <w:b/>
          <w:bCs/>
          <w:lang w:val="es-ES"/>
        </w:rPr>
        <w:t xml:space="preserve">Autor y Coautores: </w:t>
      </w:r>
      <w:r w:rsidR="00F724B2" w:rsidRPr="00257AAA">
        <w:rPr>
          <w:rFonts w:eastAsia="Times New Roman"/>
          <w:lang w:val="es-ES"/>
        </w:rPr>
        <w:t>BÁRBARA ZÚÑIGA VARGAS</w:t>
      </w:r>
      <w:r w:rsidR="00F724B2" w:rsidRPr="00257AAA">
        <w:rPr>
          <w:rFonts w:eastAsia="Times New Roman"/>
          <w:vertAlign w:val="superscript"/>
          <w:lang w:val="es-ES"/>
        </w:rPr>
        <w:t>2</w:t>
      </w:r>
      <w:r w:rsidR="00F724B2" w:rsidRPr="00257AAA">
        <w:rPr>
          <w:rFonts w:eastAsia="Times New Roman"/>
          <w:lang w:val="es-ES"/>
        </w:rPr>
        <w:t>, CÉSAR CALDERÓN CORNEJO</w:t>
      </w:r>
      <w:r w:rsidR="00F724B2" w:rsidRPr="00257AAA">
        <w:rPr>
          <w:rFonts w:eastAsia="Times New Roman"/>
          <w:vertAlign w:val="superscript"/>
          <w:lang w:val="es-ES"/>
        </w:rPr>
        <w:t>2</w:t>
      </w:r>
      <w:r w:rsidR="00F724B2" w:rsidRPr="00257AAA">
        <w:rPr>
          <w:rFonts w:eastAsia="Times New Roman"/>
          <w:lang w:val="es-ES"/>
        </w:rPr>
        <w:t>, JAVIER SALDAÑA CASTILLO</w:t>
      </w:r>
      <w:r w:rsidR="00F724B2" w:rsidRPr="00257AAA">
        <w:rPr>
          <w:rFonts w:eastAsia="Times New Roman"/>
          <w:vertAlign w:val="superscript"/>
          <w:lang w:val="es-ES"/>
        </w:rPr>
        <w:t>2</w:t>
      </w:r>
      <w:r w:rsidR="00F724B2" w:rsidRPr="00257AAA">
        <w:rPr>
          <w:rFonts w:eastAsia="Times New Roman"/>
          <w:lang w:val="es-ES"/>
        </w:rPr>
        <w:t>, M</w:t>
      </w:r>
      <w:r w:rsidR="00257AAA">
        <w:rPr>
          <w:rFonts w:eastAsia="Times New Roman"/>
          <w:lang w:val="es-ES"/>
        </w:rPr>
        <w:t>ARÍA CONSUELO GUZMÁN SARMIENTO</w:t>
      </w:r>
      <w:r w:rsidR="00F724B2" w:rsidRPr="00257AAA">
        <w:rPr>
          <w:rFonts w:eastAsia="Times New Roman"/>
          <w:vertAlign w:val="superscript"/>
          <w:lang w:val="es-ES"/>
        </w:rPr>
        <w:t>1</w:t>
      </w:r>
      <w:r w:rsidR="00F724B2" w:rsidRPr="00257AAA">
        <w:rPr>
          <w:rFonts w:eastAsia="Times New Roman"/>
          <w:lang w:val="es-ES"/>
        </w:rPr>
        <w:t>, ALEJANDRA LANAS MONTECINOS</w:t>
      </w:r>
      <w:r w:rsidR="00F724B2" w:rsidRPr="00257AAA">
        <w:rPr>
          <w:rFonts w:eastAsia="Times New Roman"/>
          <w:vertAlign w:val="superscript"/>
          <w:lang w:val="es-ES"/>
        </w:rPr>
        <w:t>2</w:t>
      </w:r>
      <w:r w:rsidR="00F724B2" w:rsidRPr="00257AAA">
        <w:rPr>
          <w:rFonts w:eastAsia="Times New Roman"/>
          <w:lang w:val="es-ES"/>
        </w:rPr>
        <w:t>, FRANCISCO CORDERO ANFOSSI</w:t>
      </w:r>
      <w:r w:rsidR="00F724B2" w:rsidRPr="00257AAA">
        <w:rPr>
          <w:rFonts w:eastAsia="Times New Roman"/>
          <w:vertAlign w:val="superscript"/>
          <w:lang w:val="es-ES"/>
        </w:rPr>
        <w:t>2</w:t>
      </w:r>
      <w:r w:rsidR="00F724B2" w:rsidRPr="00257AAA">
        <w:rPr>
          <w:rFonts w:eastAsia="Times New Roman"/>
          <w:lang w:val="es-ES"/>
        </w:rPr>
        <w:br/>
      </w:r>
      <w:r w:rsidR="00F724B2" w:rsidRPr="00257AAA">
        <w:rPr>
          <w:rFonts w:eastAsia="Times New Roman"/>
          <w:b/>
          <w:bCs/>
          <w:lang w:val="es-ES"/>
        </w:rPr>
        <w:t xml:space="preserve">Lugar de Trabajo: </w:t>
      </w:r>
      <w:r w:rsidR="00F724B2" w:rsidRPr="00257AAA">
        <w:rPr>
          <w:rFonts w:eastAsia="Times New Roman"/>
          <w:vertAlign w:val="superscript"/>
          <w:lang w:val="es-ES"/>
        </w:rPr>
        <w:t>1</w:t>
      </w:r>
      <w:r w:rsidR="00F724B2" w:rsidRPr="00257AAA">
        <w:rPr>
          <w:rFonts w:eastAsia="Times New Roman"/>
          <w:lang w:val="es-ES"/>
        </w:rPr>
        <w:t xml:space="preserve"> Servicio de Neurocirugía. Hospital Clínico de la Universidad de Chile, </w:t>
      </w:r>
      <w:r w:rsidR="00F724B2" w:rsidRPr="00257AAA">
        <w:rPr>
          <w:rFonts w:eastAsia="Times New Roman"/>
          <w:vertAlign w:val="superscript"/>
          <w:lang w:val="es-ES"/>
        </w:rPr>
        <w:t>2</w:t>
      </w:r>
      <w:r w:rsidR="00F724B2" w:rsidRPr="00257AAA">
        <w:rPr>
          <w:rFonts w:eastAsia="Times New Roman"/>
          <w:lang w:val="es-ES"/>
        </w:rPr>
        <w:t xml:space="preserve"> Hospital Clínico Universidad de Chile</w:t>
      </w:r>
    </w:p>
    <w:p w:rsidR="00163F70" w:rsidRDefault="00F724B2" w:rsidP="00257AAA">
      <w:pPr>
        <w:spacing w:after="0" w:line="240" w:lineRule="auto"/>
        <w:rPr>
          <w:rFonts w:eastAsia="Times New Roman" w:cstheme="minorHAnsi"/>
          <w:b/>
          <w:bCs/>
          <w:lang w:val="es-ES"/>
        </w:rPr>
      </w:pPr>
      <w:r w:rsidRPr="00257AAA">
        <w:rPr>
          <w:rFonts w:eastAsia="Times New Roman" w:cstheme="minorHAnsi"/>
          <w:b/>
          <w:bCs/>
          <w:lang w:val="es-ES"/>
        </w:rPr>
        <w:t xml:space="preserve">Contenido: </w:t>
      </w:r>
    </w:p>
    <w:p w:rsidR="00163F70" w:rsidRPr="00257AAA" w:rsidRDefault="00F724B2" w:rsidP="00257AA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s-ES"/>
        </w:rPr>
      </w:pPr>
      <w:r w:rsidRPr="00257AAA">
        <w:rPr>
          <w:rStyle w:val="Textoennegrita"/>
          <w:rFonts w:asciiTheme="minorHAnsi" w:hAnsiTheme="minorHAnsi" w:cstheme="minorHAnsi"/>
          <w:sz w:val="22"/>
          <w:szCs w:val="22"/>
          <w:lang w:val="es-ES"/>
        </w:rPr>
        <w:t>Introducción</w:t>
      </w:r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: Los </w:t>
      </w:r>
      <w:proofErr w:type="spellStart"/>
      <w:r w:rsidRPr="00257AAA">
        <w:rPr>
          <w:rFonts w:asciiTheme="minorHAnsi" w:hAnsiTheme="minorHAnsi" w:cstheme="minorHAnsi"/>
          <w:sz w:val="22"/>
          <w:szCs w:val="22"/>
          <w:lang w:val="es-ES"/>
        </w:rPr>
        <w:t>prolactinomas</w:t>
      </w:r>
      <w:proofErr w:type="spellEnd"/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 son los tumores hipofisarios funcionantes más frecuentes y la principal causa patológica de </w:t>
      </w:r>
      <w:proofErr w:type="spellStart"/>
      <w:r w:rsidRPr="00257AAA">
        <w:rPr>
          <w:rFonts w:asciiTheme="minorHAnsi" w:hAnsiTheme="minorHAnsi" w:cstheme="minorHAnsi"/>
          <w:sz w:val="22"/>
          <w:szCs w:val="22"/>
          <w:lang w:val="es-ES"/>
        </w:rPr>
        <w:t>hiperprolactinemia</w:t>
      </w:r>
      <w:proofErr w:type="spellEnd"/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. En estos, los niveles de prolactina (PRL) se correlacionan con el tamaño tumoral (TT), siendo en </w:t>
      </w:r>
      <w:proofErr w:type="spellStart"/>
      <w:r w:rsidRPr="00257AAA">
        <w:rPr>
          <w:rFonts w:asciiTheme="minorHAnsi" w:hAnsiTheme="minorHAnsi" w:cstheme="minorHAnsi"/>
          <w:sz w:val="22"/>
          <w:szCs w:val="22"/>
          <w:lang w:val="es-ES"/>
        </w:rPr>
        <w:t>macroprolactinomas</w:t>
      </w:r>
      <w:proofErr w:type="spellEnd"/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 (</w:t>
      </w:r>
      <w:proofErr w:type="spellStart"/>
      <w:r w:rsidRPr="00257AAA">
        <w:rPr>
          <w:rFonts w:asciiTheme="minorHAnsi" w:hAnsiTheme="minorHAnsi" w:cstheme="minorHAnsi"/>
          <w:sz w:val="22"/>
          <w:szCs w:val="22"/>
          <w:lang w:val="es-ES"/>
        </w:rPr>
        <w:t>macroPRL</w:t>
      </w:r>
      <w:proofErr w:type="spellEnd"/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) en general &gt;250 ng/ml. Los tumores hipofisarios no funcionantes (THNF) pueden presentar </w:t>
      </w:r>
      <w:proofErr w:type="spellStart"/>
      <w:r w:rsidRPr="00257AAA">
        <w:rPr>
          <w:rFonts w:asciiTheme="minorHAnsi" w:hAnsiTheme="minorHAnsi" w:cstheme="minorHAnsi"/>
          <w:sz w:val="22"/>
          <w:szCs w:val="22"/>
          <w:lang w:val="es-ES"/>
        </w:rPr>
        <w:t>hiperprolactinema</w:t>
      </w:r>
      <w:proofErr w:type="spellEnd"/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 por efecto compresivo del tallo hipofisario. En general presentan valores de PRL más bajos. Los valores de corte de PRL en estas entidades pueden presentar sup</w:t>
      </w:r>
      <w:r w:rsidR="00257AAA">
        <w:rPr>
          <w:rFonts w:asciiTheme="minorHAnsi" w:hAnsiTheme="minorHAnsi" w:cstheme="minorHAnsi"/>
          <w:sz w:val="22"/>
          <w:szCs w:val="22"/>
          <w:lang w:val="es-ES"/>
        </w:rPr>
        <w:t>erposición y existir dudas diagnó</w:t>
      </w:r>
      <w:r w:rsidRPr="00257AAA">
        <w:rPr>
          <w:rFonts w:asciiTheme="minorHAnsi" w:hAnsiTheme="minorHAnsi" w:cstheme="minorHAnsi"/>
          <w:sz w:val="22"/>
          <w:szCs w:val="22"/>
          <w:lang w:val="es-ES"/>
        </w:rPr>
        <w:t>sticas.</w:t>
      </w:r>
    </w:p>
    <w:p w:rsidR="00163F70" w:rsidRPr="00257AAA" w:rsidRDefault="00F724B2" w:rsidP="00257AA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s-ES"/>
        </w:rPr>
      </w:pPr>
      <w:r w:rsidRPr="00257AAA">
        <w:rPr>
          <w:rFonts w:asciiTheme="minorHAnsi" w:hAnsiTheme="minorHAnsi" w:cstheme="minorHAnsi"/>
          <w:sz w:val="22"/>
          <w:szCs w:val="22"/>
          <w:lang w:val="es-ES"/>
        </w:rPr>
        <w:t>Existen errores de laboratorio, como el “efecto Hook”, pero en nuestro laboratorio es infrecuente ya que se observa con valores de PRL &gt; 12.000 ng/dl.</w:t>
      </w:r>
    </w:p>
    <w:p w:rsidR="00163F70" w:rsidRPr="00257AAA" w:rsidRDefault="00F724B2" w:rsidP="00257AA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s-ES"/>
        </w:rPr>
      </w:pPr>
      <w:r w:rsidRPr="00257AAA">
        <w:rPr>
          <w:rStyle w:val="Textoennegrita"/>
          <w:rFonts w:asciiTheme="minorHAnsi" w:hAnsiTheme="minorHAnsi" w:cstheme="minorHAnsi"/>
          <w:sz w:val="22"/>
          <w:szCs w:val="22"/>
          <w:lang w:val="es-ES"/>
        </w:rPr>
        <w:t>Objetivos:</w:t>
      </w:r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 Caracterizar la relación entre el TT y PRL en </w:t>
      </w:r>
      <w:proofErr w:type="spellStart"/>
      <w:r w:rsidRPr="00257AAA">
        <w:rPr>
          <w:rFonts w:asciiTheme="minorHAnsi" w:hAnsiTheme="minorHAnsi" w:cstheme="minorHAnsi"/>
          <w:sz w:val="22"/>
          <w:szCs w:val="22"/>
          <w:lang w:val="es-ES"/>
        </w:rPr>
        <w:t>prolactinomas</w:t>
      </w:r>
      <w:proofErr w:type="spellEnd"/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 y THNF. Evaluar la utilidad de la razón PRL/TT (valor de PRL dividido en TT expresado en milímetros) como herramienta diagnóstica. </w:t>
      </w:r>
    </w:p>
    <w:p w:rsidR="00163F70" w:rsidRPr="00257AAA" w:rsidRDefault="00F724B2" w:rsidP="00257AA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s-ES"/>
        </w:rPr>
      </w:pPr>
      <w:r w:rsidRPr="00257AAA">
        <w:rPr>
          <w:rStyle w:val="Textoennegrita"/>
          <w:rFonts w:asciiTheme="minorHAnsi" w:hAnsiTheme="minorHAnsi" w:cstheme="minorHAnsi"/>
          <w:sz w:val="22"/>
          <w:szCs w:val="22"/>
          <w:lang w:val="es-ES"/>
        </w:rPr>
        <w:t>Diseño experimental:</w:t>
      </w:r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 Estudio observacional retrospectivo. Se revisan fichas clínicas de pacientes atendidos en el policlínico de patología hipofisaria entre </w:t>
      </w:r>
      <w:r w:rsidR="00257AAA">
        <w:rPr>
          <w:rFonts w:asciiTheme="minorHAnsi" w:hAnsiTheme="minorHAnsi" w:cstheme="minorHAnsi"/>
          <w:sz w:val="22"/>
          <w:szCs w:val="22"/>
          <w:lang w:val="es-ES"/>
        </w:rPr>
        <w:t>2017 y 2022, con el diagnóstico</w:t>
      </w:r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 de </w:t>
      </w:r>
      <w:proofErr w:type="spellStart"/>
      <w:r w:rsidRPr="00257AAA">
        <w:rPr>
          <w:rFonts w:asciiTheme="minorHAnsi" w:hAnsiTheme="minorHAnsi" w:cstheme="minorHAnsi"/>
          <w:sz w:val="22"/>
          <w:szCs w:val="22"/>
          <w:lang w:val="es-ES"/>
        </w:rPr>
        <w:t>prolactinoma</w:t>
      </w:r>
      <w:proofErr w:type="spellEnd"/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 y THNF que presentaran </w:t>
      </w:r>
      <w:proofErr w:type="spellStart"/>
      <w:r w:rsidRPr="00257AAA">
        <w:rPr>
          <w:rFonts w:asciiTheme="minorHAnsi" w:hAnsiTheme="minorHAnsi" w:cstheme="minorHAnsi"/>
          <w:sz w:val="22"/>
          <w:szCs w:val="22"/>
          <w:lang w:val="es-ES"/>
        </w:rPr>
        <w:t>hi</w:t>
      </w:r>
      <w:r w:rsidR="00257AAA">
        <w:rPr>
          <w:rFonts w:asciiTheme="minorHAnsi" w:hAnsiTheme="minorHAnsi" w:cstheme="minorHAnsi"/>
          <w:sz w:val="22"/>
          <w:szCs w:val="22"/>
          <w:lang w:val="es-ES"/>
        </w:rPr>
        <w:t>perPRL</w:t>
      </w:r>
      <w:proofErr w:type="spellEnd"/>
      <w:r w:rsidR="00257AAA">
        <w:rPr>
          <w:rFonts w:asciiTheme="minorHAnsi" w:hAnsiTheme="minorHAnsi" w:cstheme="minorHAnsi"/>
          <w:sz w:val="22"/>
          <w:szCs w:val="22"/>
          <w:lang w:val="es-ES"/>
        </w:rPr>
        <w:t xml:space="preserve"> al diagnóstico. El diagnó</w:t>
      </w:r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stico fue determinado por endocrinólogo según niveles de PRL, TT, respuesta al tratamiento con cabergolina y resultado de anatomía patológica en los casos operados. Se describen promedios, con DE y rangos (para mayor información clínica), </w:t>
      </w:r>
      <w:proofErr w:type="spellStart"/>
      <w:r w:rsidRPr="00257AAA">
        <w:rPr>
          <w:rFonts w:asciiTheme="minorHAnsi" w:hAnsiTheme="minorHAnsi" w:cstheme="minorHAnsi"/>
          <w:sz w:val="22"/>
          <w:szCs w:val="22"/>
          <w:lang w:val="es-ES"/>
        </w:rPr>
        <w:t>ttest</w:t>
      </w:r>
      <w:proofErr w:type="spellEnd"/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 para variables continuas y ANOVA para comparar los 3 grupos. Se considera significativo p&lt;0,05. </w:t>
      </w:r>
    </w:p>
    <w:p w:rsidR="00163F70" w:rsidRPr="00257AAA" w:rsidRDefault="00F724B2" w:rsidP="00257AA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s-ES"/>
        </w:rPr>
      </w:pPr>
      <w:r w:rsidRPr="00257AAA">
        <w:rPr>
          <w:rStyle w:val="Textoennegrita"/>
          <w:rFonts w:asciiTheme="minorHAnsi" w:hAnsiTheme="minorHAnsi" w:cstheme="minorHAnsi"/>
          <w:sz w:val="22"/>
          <w:szCs w:val="22"/>
          <w:lang w:val="es-ES"/>
        </w:rPr>
        <w:t>Resultados</w:t>
      </w:r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: Se incluyen 73 pacientes con </w:t>
      </w:r>
      <w:proofErr w:type="spellStart"/>
      <w:r w:rsidRPr="00257AAA">
        <w:rPr>
          <w:rFonts w:asciiTheme="minorHAnsi" w:hAnsiTheme="minorHAnsi" w:cstheme="minorHAnsi"/>
          <w:sz w:val="22"/>
          <w:szCs w:val="22"/>
          <w:lang w:val="es-ES"/>
        </w:rPr>
        <w:t>prolactinoma</w:t>
      </w:r>
      <w:proofErr w:type="spellEnd"/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 (36 </w:t>
      </w:r>
      <w:proofErr w:type="spellStart"/>
      <w:r w:rsidRPr="00257AAA">
        <w:rPr>
          <w:rFonts w:asciiTheme="minorHAnsi" w:hAnsiTheme="minorHAnsi" w:cstheme="minorHAnsi"/>
          <w:sz w:val="22"/>
          <w:szCs w:val="22"/>
          <w:lang w:val="es-ES"/>
        </w:rPr>
        <w:t>microPRL</w:t>
      </w:r>
      <w:proofErr w:type="spellEnd"/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 y 37 </w:t>
      </w:r>
      <w:proofErr w:type="spellStart"/>
      <w:r w:rsidRPr="00257AAA">
        <w:rPr>
          <w:rFonts w:asciiTheme="minorHAnsi" w:hAnsiTheme="minorHAnsi" w:cstheme="minorHAnsi"/>
          <w:sz w:val="22"/>
          <w:szCs w:val="22"/>
          <w:lang w:val="es-ES"/>
        </w:rPr>
        <w:t>macroPRL</w:t>
      </w:r>
      <w:proofErr w:type="spellEnd"/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) y 18 con THNF. El 69% corresponde a mujeres y la edad promedio fue 40,2 años (DE 12,68), siendo menor en </w:t>
      </w:r>
      <w:proofErr w:type="spellStart"/>
      <w:r w:rsidRPr="00257AAA">
        <w:rPr>
          <w:rFonts w:asciiTheme="minorHAnsi" w:hAnsiTheme="minorHAnsi" w:cstheme="minorHAnsi"/>
          <w:sz w:val="22"/>
          <w:szCs w:val="22"/>
          <w:lang w:val="es-ES"/>
        </w:rPr>
        <w:t>microPRL</w:t>
      </w:r>
      <w:proofErr w:type="spellEnd"/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=33,8, en comparación con </w:t>
      </w:r>
      <w:proofErr w:type="spellStart"/>
      <w:r w:rsidRPr="00257AAA">
        <w:rPr>
          <w:rFonts w:asciiTheme="minorHAnsi" w:hAnsiTheme="minorHAnsi" w:cstheme="minorHAnsi"/>
          <w:sz w:val="22"/>
          <w:szCs w:val="22"/>
          <w:lang w:val="es-ES"/>
        </w:rPr>
        <w:t>macroPRL</w:t>
      </w:r>
      <w:proofErr w:type="spellEnd"/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=41,8 y THNF=49 (p&lt;0,01). El promedio de PRL en </w:t>
      </w:r>
      <w:proofErr w:type="spellStart"/>
      <w:r w:rsidRPr="00257AAA">
        <w:rPr>
          <w:rFonts w:asciiTheme="minorHAnsi" w:hAnsiTheme="minorHAnsi" w:cstheme="minorHAnsi"/>
          <w:sz w:val="22"/>
          <w:szCs w:val="22"/>
          <w:lang w:val="es-ES"/>
        </w:rPr>
        <w:t>microPRL</w:t>
      </w:r>
      <w:proofErr w:type="spellEnd"/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=142 (rango 63-586), en </w:t>
      </w:r>
      <w:proofErr w:type="spellStart"/>
      <w:r w:rsidRPr="00257AAA">
        <w:rPr>
          <w:rFonts w:asciiTheme="minorHAnsi" w:hAnsiTheme="minorHAnsi" w:cstheme="minorHAnsi"/>
          <w:sz w:val="22"/>
          <w:szCs w:val="22"/>
          <w:lang w:val="es-ES"/>
        </w:rPr>
        <w:t>macroPRL</w:t>
      </w:r>
      <w:proofErr w:type="spellEnd"/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= 1.656 (138-13.430) y THNF =71 ng/ml (40-169) (p&lt;0,01). El tamaño en </w:t>
      </w:r>
      <w:proofErr w:type="spellStart"/>
      <w:r w:rsidRPr="00257AAA">
        <w:rPr>
          <w:rFonts w:asciiTheme="minorHAnsi" w:hAnsiTheme="minorHAnsi" w:cstheme="minorHAnsi"/>
          <w:sz w:val="22"/>
          <w:szCs w:val="22"/>
          <w:lang w:val="es-ES"/>
        </w:rPr>
        <w:t>microPRL</w:t>
      </w:r>
      <w:proofErr w:type="spellEnd"/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 6,2mm (rango 3-9), en </w:t>
      </w:r>
      <w:proofErr w:type="spellStart"/>
      <w:r w:rsidRPr="00257AAA">
        <w:rPr>
          <w:rFonts w:asciiTheme="minorHAnsi" w:hAnsiTheme="minorHAnsi" w:cstheme="minorHAnsi"/>
          <w:sz w:val="22"/>
          <w:szCs w:val="22"/>
          <w:lang w:val="es-ES"/>
        </w:rPr>
        <w:t>macroPRL</w:t>
      </w:r>
      <w:proofErr w:type="spellEnd"/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 21.7mm (10-40) y THNF 27mm (15-53) (p&lt;0,01). En los </w:t>
      </w:r>
      <w:proofErr w:type="spellStart"/>
      <w:r w:rsidRPr="00257AAA">
        <w:rPr>
          <w:rFonts w:asciiTheme="minorHAnsi" w:hAnsiTheme="minorHAnsi" w:cstheme="minorHAnsi"/>
          <w:sz w:val="22"/>
          <w:szCs w:val="22"/>
          <w:lang w:val="es-ES"/>
        </w:rPr>
        <w:t>prolactinomas</w:t>
      </w:r>
      <w:proofErr w:type="spellEnd"/>
      <w:r w:rsidRPr="00257AAA">
        <w:rPr>
          <w:rFonts w:asciiTheme="minorHAnsi" w:hAnsiTheme="minorHAnsi" w:cstheme="minorHAnsi"/>
          <w:sz w:val="22"/>
          <w:szCs w:val="22"/>
          <w:lang w:val="es-ES"/>
        </w:rPr>
        <w:t>, al dividir por cuartiles según tamaño, se observa una relación positiva entre el tamaño del tumor y los niveles de prolactina (tabla 1).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1170"/>
        <w:gridCol w:w="1095"/>
        <w:gridCol w:w="1200"/>
        <w:gridCol w:w="1275"/>
        <w:gridCol w:w="1050"/>
      </w:tblGrid>
      <w:tr w:rsidR="00163F70" w:rsidRPr="00257AA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70" w:rsidRPr="00257AAA" w:rsidRDefault="00F724B2" w:rsidP="00257A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7AAA">
              <w:rPr>
                <w:rFonts w:asciiTheme="minorHAnsi" w:hAnsiTheme="minorHAnsi" w:cstheme="minorHAnsi"/>
                <w:sz w:val="22"/>
                <w:szCs w:val="22"/>
              </w:rPr>
              <w:t>Cuartiles</w:t>
            </w:r>
            <w:proofErr w:type="spellEnd"/>
            <w:r w:rsidRPr="00257AAA">
              <w:rPr>
                <w:rFonts w:asciiTheme="minorHAnsi" w:hAnsiTheme="minorHAnsi" w:cstheme="minorHAnsi"/>
                <w:sz w:val="22"/>
                <w:szCs w:val="22"/>
              </w:rPr>
              <w:t xml:space="preserve"> PRL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70" w:rsidRPr="00257AAA" w:rsidRDefault="00F724B2" w:rsidP="00257A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7AAA">
              <w:rPr>
                <w:rFonts w:asciiTheme="minorHAnsi" w:hAnsiTheme="minorHAnsi" w:cstheme="minorHAnsi"/>
                <w:sz w:val="22"/>
                <w:szCs w:val="22"/>
              </w:rPr>
              <w:t>1º (63-99)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70" w:rsidRPr="00257AAA" w:rsidRDefault="00F724B2" w:rsidP="00257A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7AAA">
              <w:rPr>
                <w:rFonts w:asciiTheme="minorHAnsi" w:hAnsiTheme="minorHAnsi" w:cstheme="minorHAnsi"/>
                <w:sz w:val="22"/>
                <w:szCs w:val="22"/>
              </w:rPr>
              <w:t>2º (100-272)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70" w:rsidRPr="00257AAA" w:rsidRDefault="00F724B2" w:rsidP="00257A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7AAA">
              <w:rPr>
                <w:rFonts w:asciiTheme="minorHAnsi" w:hAnsiTheme="minorHAnsi" w:cstheme="minorHAnsi"/>
                <w:sz w:val="22"/>
                <w:szCs w:val="22"/>
              </w:rPr>
              <w:t>3º (273-844)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70" w:rsidRPr="00257AAA" w:rsidRDefault="00F724B2" w:rsidP="00257A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7AAA">
              <w:rPr>
                <w:rFonts w:asciiTheme="minorHAnsi" w:hAnsiTheme="minorHAnsi" w:cstheme="minorHAnsi"/>
                <w:sz w:val="22"/>
                <w:szCs w:val="22"/>
              </w:rPr>
              <w:t>4º (845-13430)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70" w:rsidRPr="00257AAA" w:rsidRDefault="00F724B2" w:rsidP="00257A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7AAA">
              <w:rPr>
                <w:rFonts w:asciiTheme="minorHAnsi" w:hAnsiTheme="minorHAnsi" w:cstheme="minorHAnsi"/>
                <w:sz w:val="22"/>
                <w:szCs w:val="22"/>
              </w:rPr>
              <w:t>p (ANOVA)</w:t>
            </w:r>
          </w:p>
        </w:tc>
      </w:tr>
      <w:tr w:rsidR="00163F70" w:rsidRPr="00257AA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70" w:rsidRPr="00257AAA" w:rsidRDefault="00F724B2" w:rsidP="00257A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7AAA">
              <w:rPr>
                <w:rFonts w:asciiTheme="minorHAnsi" w:hAnsiTheme="minorHAnsi" w:cstheme="minorHAnsi"/>
                <w:sz w:val="22"/>
                <w:szCs w:val="22"/>
              </w:rPr>
              <w:t>Tamaño</w:t>
            </w:r>
            <w:proofErr w:type="spellEnd"/>
            <w:r w:rsidRPr="00257AAA">
              <w:rPr>
                <w:rFonts w:asciiTheme="minorHAnsi" w:hAnsiTheme="minorHAnsi" w:cstheme="minorHAnsi"/>
                <w:sz w:val="22"/>
                <w:szCs w:val="22"/>
              </w:rPr>
              <w:t xml:space="preserve"> ( mm)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70" w:rsidRPr="00257AAA" w:rsidRDefault="00F724B2" w:rsidP="00257A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7AAA">
              <w:rPr>
                <w:rFonts w:asciiTheme="minorHAnsi" w:hAnsiTheme="minorHAnsi" w:cstheme="minorHAnsi"/>
                <w:sz w:val="22"/>
                <w:szCs w:val="22"/>
              </w:rPr>
              <w:t>6.1 (DE 1.49)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70" w:rsidRPr="00257AAA" w:rsidRDefault="00F724B2" w:rsidP="00257A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7AAA">
              <w:rPr>
                <w:rFonts w:asciiTheme="minorHAnsi" w:hAnsiTheme="minorHAnsi" w:cstheme="minorHAnsi"/>
                <w:sz w:val="22"/>
                <w:szCs w:val="22"/>
              </w:rPr>
              <w:t>6.6 (2.57)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70" w:rsidRPr="00257AAA" w:rsidRDefault="00F724B2" w:rsidP="00257A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7AAA">
              <w:rPr>
                <w:rFonts w:asciiTheme="minorHAnsi" w:hAnsiTheme="minorHAnsi" w:cstheme="minorHAnsi"/>
                <w:sz w:val="22"/>
                <w:szCs w:val="22"/>
              </w:rPr>
              <w:t>19,2 (DE 8,5)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70" w:rsidRPr="00257AAA" w:rsidRDefault="00F724B2" w:rsidP="00257A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7AAA">
              <w:rPr>
                <w:rFonts w:asciiTheme="minorHAnsi" w:hAnsiTheme="minorHAnsi" w:cstheme="minorHAnsi"/>
                <w:sz w:val="22"/>
                <w:szCs w:val="22"/>
              </w:rPr>
              <w:t>23,8 (DE 8,3)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70" w:rsidRPr="00257AAA" w:rsidRDefault="00F724B2" w:rsidP="00257A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7AAA">
              <w:rPr>
                <w:rFonts w:asciiTheme="minorHAnsi" w:hAnsiTheme="minorHAnsi" w:cstheme="minorHAnsi"/>
                <w:sz w:val="22"/>
                <w:szCs w:val="22"/>
              </w:rPr>
              <w:t>&lt;0,01</w:t>
            </w:r>
          </w:p>
        </w:tc>
      </w:tr>
    </w:tbl>
    <w:p w:rsidR="00163F70" w:rsidRPr="00257AAA" w:rsidRDefault="00F724B2" w:rsidP="00257AA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s-ES"/>
        </w:rPr>
      </w:pPr>
      <w:r w:rsidRPr="00257AAA">
        <w:rPr>
          <w:rFonts w:asciiTheme="minorHAnsi" w:hAnsiTheme="minorHAnsi" w:cstheme="minorHAnsi"/>
          <w:sz w:val="22"/>
          <w:szCs w:val="22"/>
          <w:lang w:val="es-ES"/>
        </w:rPr>
        <w:t>Se realiza el c</w:t>
      </w:r>
      <w:r w:rsidR="00257AAA">
        <w:rPr>
          <w:rFonts w:asciiTheme="minorHAnsi" w:hAnsiTheme="minorHAnsi" w:cstheme="minorHAnsi"/>
          <w:sz w:val="22"/>
          <w:szCs w:val="22"/>
          <w:lang w:val="es-ES"/>
        </w:rPr>
        <w:t>á</w:t>
      </w:r>
      <w:bookmarkStart w:id="0" w:name="_GoBack"/>
      <w:bookmarkEnd w:id="0"/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lculo de la razón PRL/TT, resultando el promedio en </w:t>
      </w:r>
      <w:proofErr w:type="spellStart"/>
      <w:r w:rsidRPr="00257AAA">
        <w:rPr>
          <w:rFonts w:asciiTheme="minorHAnsi" w:hAnsiTheme="minorHAnsi" w:cstheme="minorHAnsi"/>
          <w:sz w:val="22"/>
          <w:szCs w:val="22"/>
          <w:lang w:val="es-ES"/>
        </w:rPr>
        <w:t>microPRL</w:t>
      </w:r>
      <w:proofErr w:type="spellEnd"/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 =23.5(DE14), </w:t>
      </w:r>
      <w:proofErr w:type="spellStart"/>
      <w:r w:rsidRPr="00257AAA">
        <w:rPr>
          <w:rFonts w:asciiTheme="minorHAnsi" w:hAnsiTheme="minorHAnsi" w:cstheme="minorHAnsi"/>
          <w:sz w:val="22"/>
          <w:szCs w:val="22"/>
          <w:lang w:val="es-ES"/>
        </w:rPr>
        <w:t>macroPRL</w:t>
      </w:r>
      <w:proofErr w:type="spellEnd"/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 =74,9 (DE100) y en THNF= 3,1 (DE 1,9) con p&lt;0.01. Todos los </w:t>
      </w:r>
      <w:proofErr w:type="spellStart"/>
      <w:r w:rsidRPr="00257AAA">
        <w:rPr>
          <w:rFonts w:asciiTheme="minorHAnsi" w:hAnsiTheme="minorHAnsi" w:cstheme="minorHAnsi"/>
          <w:sz w:val="22"/>
          <w:szCs w:val="22"/>
          <w:lang w:val="es-ES"/>
        </w:rPr>
        <w:t>microPRL</w:t>
      </w:r>
      <w:proofErr w:type="spellEnd"/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 presentaron una razón PRL/TT </w:t>
      </w:r>
      <w:r w:rsidRPr="00257AAA">
        <w:rPr>
          <w:rFonts w:asciiTheme="minorHAnsi" w:hAnsiTheme="minorHAnsi" w:cstheme="minorHAnsi"/>
          <w:sz w:val="22"/>
          <w:szCs w:val="22"/>
          <w:u w:val="single"/>
          <w:lang w:val="es-ES"/>
        </w:rPr>
        <w:t>&gt;</w:t>
      </w:r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10 y los </w:t>
      </w:r>
      <w:proofErr w:type="spellStart"/>
      <w:r w:rsidRPr="00257AAA">
        <w:rPr>
          <w:rFonts w:asciiTheme="minorHAnsi" w:hAnsiTheme="minorHAnsi" w:cstheme="minorHAnsi"/>
          <w:sz w:val="22"/>
          <w:szCs w:val="22"/>
          <w:lang w:val="es-ES"/>
        </w:rPr>
        <w:t>macroPRL</w:t>
      </w:r>
      <w:proofErr w:type="spellEnd"/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257AAA">
        <w:rPr>
          <w:rFonts w:asciiTheme="minorHAnsi" w:hAnsiTheme="minorHAnsi" w:cstheme="minorHAnsi"/>
          <w:sz w:val="22"/>
          <w:szCs w:val="22"/>
          <w:u w:val="single"/>
          <w:lang w:val="es-ES"/>
        </w:rPr>
        <w:t>&gt;</w:t>
      </w:r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14 y todos los THNF </w:t>
      </w:r>
      <w:r w:rsidRPr="00257AAA">
        <w:rPr>
          <w:rFonts w:asciiTheme="minorHAnsi" w:hAnsiTheme="minorHAnsi" w:cstheme="minorHAnsi"/>
          <w:sz w:val="22"/>
          <w:szCs w:val="22"/>
          <w:u w:val="single"/>
          <w:lang w:val="es-ES"/>
        </w:rPr>
        <w:t>&lt;</w:t>
      </w:r>
      <w:r w:rsidRPr="00257AAA">
        <w:rPr>
          <w:rFonts w:asciiTheme="minorHAnsi" w:hAnsiTheme="minorHAnsi" w:cstheme="minorHAnsi"/>
          <w:sz w:val="22"/>
          <w:szCs w:val="22"/>
          <w:lang w:val="es-ES"/>
        </w:rPr>
        <w:t>7. En esta población esto resulta en sensibilidad y especificad de 100%.</w:t>
      </w:r>
    </w:p>
    <w:p w:rsidR="00163F70" w:rsidRPr="00257AAA" w:rsidRDefault="00F724B2" w:rsidP="00257AA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s-ES"/>
        </w:rPr>
      </w:pPr>
      <w:r w:rsidRPr="00257AAA">
        <w:rPr>
          <w:rStyle w:val="Textoennegrita"/>
          <w:rFonts w:asciiTheme="minorHAnsi" w:hAnsiTheme="minorHAnsi" w:cstheme="minorHAnsi"/>
          <w:sz w:val="22"/>
          <w:szCs w:val="22"/>
          <w:lang w:val="es-ES"/>
        </w:rPr>
        <w:t>Conclusiones</w:t>
      </w:r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: </w:t>
      </w:r>
    </w:p>
    <w:p w:rsidR="00163F70" w:rsidRPr="00257AAA" w:rsidRDefault="00F724B2" w:rsidP="00257AA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s-ES"/>
        </w:rPr>
      </w:pPr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En nuestra población, de acuerdo a lo descrito, se observa una clara relación entre los niveles de PRL y el diagnóstico de </w:t>
      </w:r>
      <w:proofErr w:type="spellStart"/>
      <w:r w:rsidRPr="00257AAA">
        <w:rPr>
          <w:rFonts w:asciiTheme="minorHAnsi" w:hAnsiTheme="minorHAnsi" w:cstheme="minorHAnsi"/>
          <w:sz w:val="22"/>
          <w:szCs w:val="22"/>
          <w:lang w:val="es-ES"/>
        </w:rPr>
        <w:t>microPRL</w:t>
      </w:r>
      <w:proofErr w:type="spellEnd"/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257AAA">
        <w:rPr>
          <w:rFonts w:asciiTheme="minorHAnsi" w:hAnsiTheme="minorHAnsi" w:cstheme="minorHAnsi"/>
          <w:sz w:val="22"/>
          <w:szCs w:val="22"/>
          <w:lang w:val="es-ES"/>
        </w:rPr>
        <w:t>macroPRl</w:t>
      </w:r>
      <w:proofErr w:type="spellEnd"/>
      <w:r w:rsidRPr="00257AAA">
        <w:rPr>
          <w:rFonts w:asciiTheme="minorHAnsi" w:hAnsiTheme="minorHAnsi" w:cstheme="minorHAnsi"/>
          <w:sz w:val="22"/>
          <w:szCs w:val="22"/>
          <w:lang w:val="es-ES"/>
        </w:rPr>
        <w:t xml:space="preserve"> y THNF. La razón PRL/TT es una herramienta que mostro ser útil para diferenciar estas entidades. </w:t>
      </w:r>
    </w:p>
    <w:p w:rsidR="00F724B2" w:rsidRPr="00257AAA" w:rsidRDefault="00F724B2" w:rsidP="00257AAA">
      <w:pPr>
        <w:spacing w:after="0" w:line="240" w:lineRule="auto"/>
        <w:rPr>
          <w:rFonts w:eastAsia="Times New Roman" w:cstheme="minorHAnsi"/>
        </w:rPr>
      </w:pPr>
      <w:r w:rsidRPr="00257AAA">
        <w:rPr>
          <w:rFonts w:eastAsia="Times New Roman" w:cstheme="minorHAnsi"/>
          <w:lang w:val="es-ES"/>
        </w:rPr>
        <w:br/>
      </w:r>
    </w:p>
    <w:sectPr w:rsidR="00F724B2" w:rsidRPr="00257AAA" w:rsidSect="008C3788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A8796F"/>
    <w:rsid w:val="00163F70"/>
    <w:rsid w:val="00257AAA"/>
    <w:rsid w:val="008C3788"/>
    <w:rsid w:val="008E219E"/>
    <w:rsid w:val="00A8796F"/>
    <w:rsid w:val="00CD4731"/>
    <w:rsid w:val="00F7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7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C37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Sociedad Chilena de Endocrinología y Diabetes</cp:lastModifiedBy>
  <cp:revision>2</cp:revision>
  <dcterms:created xsi:type="dcterms:W3CDTF">2022-10-18T15:41:00Z</dcterms:created>
  <dcterms:modified xsi:type="dcterms:W3CDTF">2022-10-18T15:41:00Z</dcterms:modified>
</cp:coreProperties>
</file>