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D" w:rsidRPr="008F5AC7" w:rsidRDefault="005E2E77" w:rsidP="00E74F8B">
      <w:pPr>
        <w:spacing w:after="0" w:line="240" w:lineRule="auto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b/>
          <w:bCs/>
          <w:lang w:val="es-ES"/>
        </w:rPr>
        <w:t>TL 6 (</w:t>
      </w:r>
      <w:r w:rsidR="001A117E" w:rsidRPr="008F5AC7">
        <w:rPr>
          <w:rFonts w:eastAsia="Times New Roman"/>
          <w:b/>
          <w:bCs/>
          <w:lang w:val="es-ES"/>
        </w:rPr>
        <w:t>Nº4</w:t>
      </w:r>
      <w:r>
        <w:rPr>
          <w:rFonts w:eastAsia="Times New Roman"/>
          <w:b/>
          <w:bCs/>
          <w:lang w:val="es-ES"/>
        </w:rPr>
        <w:t>)</w:t>
      </w:r>
      <w:r w:rsidR="001A117E" w:rsidRPr="008F5AC7">
        <w:rPr>
          <w:rFonts w:eastAsia="Times New Roman"/>
          <w:b/>
          <w:bCs/>
          <w:lang w:val="es-ES"/>
        </w:rPr>
        <w:br/>
        <w:t>DETERMINACIÓN DEL FRAX EL DÍA PREVIO A LA FRACTURA OSTEOPORÓTICA DE CADERA</w:t>
      </w:r>
      <w:r w:rsidR="001A117E" w:rsidRPr="008F5AC7">
        <w:rPr>
          <w:rFonts w:eastAsia="Times New Roman"/>
          <w:lang w:val="es-ES"/>
        </w:rPr>
        <w:br/>
      </w:r>
      <w:r w:rsidR="001A117E" w:rsidRPr="008F5AC7">
        <w:rPr>
          <w:rFonts w:eastAsia="Times New Roman"/>
          <w:b/>
          <w:bCs/>
          <w:lang w:val="es-ES"/>
        </w:rPr>
        <w:t xml:space="preserve">Autor y Coautores: </w:t>
      </w:r>
      <w:r w:rsidR="001A117E" w:rsidRPr="008F5AC7">
        <w:rPr>
          <w:rFonts w:eastAsia="Times New Roman"/>
          <w:lang w:val="es-ES"/>
        </w:rPr>
        <w:t>Constanza von Plessing Pierry</w:t>
      </w:r>
      <w:r w:rsidR="001A117E" w:rsidRPr="008F5AC7">
        <w:rPr>
          <w:rFonts w:eastAsia="Times New Roman"/>
          <w:vertAlign w:val="superscript"/>
          <w:lang w:val="es-ES"/>
        </w:rPr>
        <w:t>1</w:t>
      </w:r>
      <w:r w:rsidR="001A117E" w:rsidRPr="008F5AC7">
        <w:rPr>
          <w:rFonts w:eastAsia="Times New Roman"/>
          <w:lang w:val="es-ES"/>
        </w:rPr>
        <w:t>, Carolina Frías Leiva</w:t>
      </w:r>
      <w:r w:rsidR="001A117E" w:rsidRPr="008F5AC7">
        <w:rPr>
          <w:rFonts w:eastAsia="Times New Roman"/>
          <w:vertAlign w:val="superscript"/>
          <w:lang w:val="es-ES"/>
        </w:rPr>
        <w:t>1</w:t>
      </w:r>
      <w:r w:rsidR="001A117E" w:rsidRPr="008F5AC7">
        <w:rPr>
          <w:rFonts w:eastAsia="Times New Roman"/>
          <w:lang w:val="es-ES"/>
        </w:rPr>
        <w:t xml:space="preserve">, </w:t>
      </w:r>
      <w:proofErr w:type="spellStart"/>
      <w:r w:rsidR="001A117E" w:rsidRPr="008F5AC7">
        <w:rPr>
          <w:rFonts w:eastAsia="Times New Roman"/>
          <w:lang w:val="es-ES"/>
        </w:rPr>
        <w:t>Lizandro</w:t>
      </w:r>
      <w:proofErr w:type="spellEnd"/>
      <w:r w:rsidR="001A117E" w:rsidRPr="008F5AC7">
        <w:rPr>
          <w:rFonts w:eastAsia="Times New Roman"/>
          <w:lang w:val="es-ES"/>
        </w:rPr>
        <w:t xml:space="preserve"> Jaque González</w:t>
      </w:r>
      <w:r w:rsidR="001A117E" w:rsidRPr="008F5AC7">
        <w:rPr>
          <w:rFonts w:eastAsia="Times New Roman"/>
          <w:vertAlign w:val="superscript"/>
          <w:lang w:val="es-ES"/>
        </w:rPr>
        <w:t>1</w:t>
      </w:r>
      <w:r w:rsidR="00FD6FF6">
        <w:rPr>
          <w:rFonts w:eastAsia="Times New Roman"/>
          <w:lang w:val="es-ES"/>
        </w:rPr>
        <w:t>, Rosario Martí</w:t>
      </w:r>
      <w:bookmarkStart w:id="0" w:name="_GoBack"/>
      <w:bookmarkEnd w:id="0"/>
      <w:r w:rsidR="001A117E" w:rsidRPr="008F5AC7">
        <w:rPr>
          <w:rFonts w:eastAsia="Times New Roman"/>
          <w:lang w:val="es-ES"/>
        </w:rPr>
        <w:t>nez Figueroa</w:t>
      </w:r>
      <w:r w:rsidR="001A117E" w:rsidRPr="008F5AC7">
        <w:rPr>
          <w:rFonts w:eastAsia="Times New Roman"/>
          <w:vertAlign w:val="superscript"/>
          <w:lang w:val="es-ES"/>
        </w:rPr>
        <w:t>1</w:t>
      </w:r>
      <w:r w:rsidR="001A117E" w:rsidRPr="008F5AC7">
        <w:rPr>
          <w:rFonts w:eastAsia="Times New Roman"/>
          <w:lang w:val="es-ES"/>
        </w:rPr>
        <w:t>, Juan Cristóbal Ormeño Illanes</w:t>
      </w:r>
      <w:r w:rsidR="001A117E" w:rsidRPr="008F5AC7">
        <w:rPr>
          <w:rFonts w:eastAsia="Times New Roman"/>
          <w:vertAlign w:val="superscript"/>
          <w:lang w:val="es-ES"/>
        </w:rPr>
        <w:t>1</w:t>
      </w:r>
      <w:r w:rsidR="001A117E" w:rsidRPr="008F5AC7">
        <w:rPr>
          <w:rFonts w:eastAsia="Times New Roman"/>
          <w:lang w:val="es-ES"/>
        </w:rPr>
        <w:t>, Samuel Parra Aguilera</w:t>
      </w:r>
      <w:r w:rsidR="001A117E" w:rsidRPr="008F5AC7">
        <w:rPr>
          <w:rFonts w:eastAsia="Times New Roman"/>
          <w:vertAlign w:val="superscript"/>
          <w:lang w:val="es-ES"/>
        </w:rPr>
        <w:t>2</w:t>
      </w:r>
      <w:r w:rsidR="001A117E" w:rsidRPr="008F5AC7">
        <w:rPr>
          <w:rFonts w:eastAsia="Times New Roman"/>
          <w:lang w:val="es-ES"/>
        </w:rPr>
        <w:t xml:space="preserve">, Carlos </w:t>
      </w:r>
      <w:proofErr w:type="spellStart"/>
      <w:r w:rsidR="001A117E" w:rsidRPr="008F5AC7">
        <w:rPr>
          <w:rFonts w:eastAsia="Times New Roman"/>
          <w:lang w:val="es-ES"/>
        </w:rPr>
        <w:t>Chandía</w:t>
      </w:r>
      <w:proofErr w:type="spellEnd"/>
      <w:r w:rsidR="001A117E" w:rsidRPr="008F5AC7">
        <w:rPr>
          <w:rFonts w:eastAsia="Times New Roman"/>
          <w:lang w:val="es-ES"/>
        </w:rPr>
        <w:t xml:space="preserve"> Aguilera</w:t>
      </w:r>
      <w:r w:rsidR="001A117E" w:rsidRPr="008F5AC7">
        <w:rPr>
          <w:rFonts w:eastAsia="Times New Roman"/>
          <w:vertAlign w:val="superscript"/>
          <w:lang w:val="es-ES"/>
        </w:rPr>
        <w:t>2</w:t>
      </w:r>
      <w:r w:rsidR="001A117E" w:rsidRPr="008F5AC7">
        <w:rPr>
          <w:rFonts w:eastAsia="Times New Roman"/>
          <w:lang w:val="es-ES"/>
        </w:rPr>
        <w:t>, Iván Quevedo Langenegger</w:t>
      </w:r>
      <w:r w:rsidR="001A117E" w:rsidRPr="008F5AC7">
        <w:rPr>
          <w:rFonts w:eastAsia="Times New Roman"/>
          <w:vertAlign w:val="superscript"/>
          <w:lang w:val="es-ES"/>
        </w:rPr>
        <w:t>1</w:t>
      </w:r>
      <w:r w:rsidR="001A117E" w:rsidRPr="008F5AC7">
        <w:rPr>
          <w:rFonts w:eastAsia="Times New Roman"/>
          <w:lang w:val="es-ES"/>
        </w:rPr>
        <w:br/>
      </w:r>
      <w:r w:rsidR="001A117E" w:rsidRPr="008F5AC7">
        <w:rPr>
          <w:rFonts w:eastAsia="Times New Roman"/>
          <w:b/>
          <w:bCs/>
          <w:lang w:val="es-ES"/>
        </w:rPr>
        <w:t xml:space="preserve">Lugar de Trabajo: </w:t>
      </w:r>
      <w:r w:rsidR="001A117E" w:rsidRPr="008F5AC7">
        <w:rPr>
          <w:rFonts w:eastAsia="Times New Roman"/>
          <w:vertAlign w:val="superscript"/>
          <w:lang w:val="es-ES"/>
        </w:rPr>
        <w:t>1</w:t>
      </w:r>
      <w:r w:rsidR="001A117E" w:rsidRPr="008F5AC7">
        <w:rPr>
          <w:rFonts w:eastAsia="Times New Roman"/>
          <w:lang w:val="es-ES"/>
        </w:rPr>
        <w:t xml:space="preserve"> Facultad de Medicina, Universidad de Concepción, </w:t>
      </w:r>
      <w:r w:rsidR="001A117E" w:rsidRPr="008F5AC7">
        <w:rPr>
          <w:rFonts w:eastAsia="Times New Roman"/>
          <w:vertAlign w:val="superscript"/>
          <w:lang w:val="es-ES"/>
        </w:rPr>
        <w:t>2</w:t>
      </w:r>
      <w:r w:rsidR="001A117E" w:rsidRPr="008F5AC7">
        <w:rPr>
          <w:rFonts w:eastAsia="Times New Roman"/>
          <w:lang w:val="es-ES"/>
        </w:rPr>
        <w:t xml:space="preserve"> Hospital Traumatológico de Concepción </w:t>
      </w:r>
      <w:r w:rsidR="001A117E" w:rsidRPr="008F5AC7">
        <w:rPr>
          <w:rFonts w:eastAsia="Times New Roman"/>
          <w:lang w:val="es-ES"/>
        </w:rPr>
        <w:br/>
      </w:r>
      <w:r w:rsidR="001A117E" w:rsidRPr="008F5AC7">
        <w:rPr>
          <w:rFonts w:eastAsia="Times New Roman"/>
          <w:b/>
          <w:bCs/>
          <w:lang w:val="es-ES"/>
        </w:rPr>
        <w:t xml:space="preserve">Contenido: </w:t>
      </w:r>
    </w:p>
    <w:p w:rsidR="001D068D" w:rsidRPr="00FD6FF6" w:rsidRDefault="001A117E" w:rsidP="00E74F8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D6FF6">
        <w:rPr>
          <w:rFonts w:asciiTheme="minorHAnsi" w:hAnsiTheme="minorHAnsi" w:cstheme="minorHAnsi"/>
          <w:b/>
          <w:sz w:val="22"/>
          <w:szCs w:val="22"/>
          <w:lang w:val="es-ES"/>
        </w:rPr>
        <w:t>Objetivo:</w:t>
      </w:r>
      <w:r w:rsidRPr="00FD6FF6">
        <w:rPr>
          <w:rFonts w:asciiTheme="minorHAnsi" w:hAnsiTheme="minorHAnsi" w:cstheme="minorHAnsi"/>
          <w:sz w:val="22"/>
          <w:szCs w:val="22"/>
          <w:lang w:val="es-ES"/>
        </w:rPr>
        <w:t xml:space="preserve"> Determinar el Fracture Risk </w:t>
      </w:r>
      <w:proofErr w:type="spellStart"/>
      <w:r w:rsidRPr="00FD6FF6">
        <w:rPr>
          <w:rFonts w:asciiTheme="minorHAnsi" w:hAnsiTheme="minorHAnsi" w:cstheme="minorHAnsi"/>
          <w:sz w:val="22"/>
          <w:szCs w:val="22"/>
          <w:lang w:val="es-ES"/>
        </w:rPr>
        <w:t>Assessment</w:t>
      </w:r>
      <w:proofErr w:type="spellEnd"/>
      <w:r w:rsidRPr="00FD6FF6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FD6FF6">
        <w:rPr>
          <w:rFonts w:asciiTheme="minorHAnsi" w:hAnsiTheme="minorHAnsi" w:cstheme="minorHAnsi"/>
          <w:sz w:val="22"/>
          <w:szCs w:val="22"/>
          <w:lang w:val="es-ES"/>
        </w:rPr>
        <w:t>Tool</w:t>
      </w:r>
      <w:proofErr w:type="spellEnd"/>
      <w:r w:rsidRPr="00FD6FF6">
        <w:rPr>
          <w:rFonts w:asciiTheme="minorHAnsi" w:hAnsiTheme="minorHAnsi" w:cstheme="minorHAnsi"/>
          <w:sz w:val="22"/>
          <w:szCs w:val="22"/>
          <w:lang w:val="es-ES"/>
        </w:rPr>
        <w:t xml:space="preserve"> (FRAX) el día previo a presentar una fractura osteoporótica de cadera.</w:t>
      </w:r>
    </w:p>
    <w:p w:rsidR="001D068D" w:rsidRPr="00FD6FF6" w:rsidRDefault="001A117E" w:rsidP="00E74F8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D6FF6">
        <w:rPr>
          <w:rFonts w:asciiTheme="minorHAnsi" w:hAnsiTheme="minorHAnsi" w:cstheme="minorHAnsi"/>
          <w:sz w:val="22"/>
          <w:szCs w:val="22"/>
          <w:lang w:val="es-ES"/>
        </w:rPr>
        <w:t xml:space="preserve">Diseño experimental: Se realizó un estudio descriptivo de corte transversal. La información se obtuvo de la ficha clínica y de la entrevista clínica. </w:t>
      </w:r>
    </w:p>
    <w:p w:rsidR="001D068D" w:rsidRPr="00FD6FF6" w:rsidRDefault="001A117E" w:rsidP="00E74F8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D6FF6">
        <w:rPr>
          <w:rFonts w:asciiTheme="minorHAnsi" w:hAnsiTheme="minorHAnsi" w:cstheme="minorHAnsi"/>
          <w:sz w:val="22"/>
          <w:szCs w:val="22"/>
          <w:lang w:val="es-ES"/>
        </w:rPr>
        <w:t>Materiales y Métodos: Se reclutaron a 191 pacientes ≥ 60 años que fueron ingresados por fractura de cadera entre Julio 2021 y Junio 2022 en un hospital de alta complejidad. Se excluyeron a 39 pacientes por no tener la información de peso y talla y a 46 por tener &gt;90 años. Finalmente el estudio incluyó a 106 pacientes. Se calculó el FRAX utilizando la herramienta de cálculo online para población chilena del Centro para Enfermedades Metabólicas del Hueso de la Universidad de Sheffield y se interpretó con los umbrales de intervención para la población chilena de acuerdo con el riesgo de presentar una fractura mayor osteoporótica a 10 años. Los datos se traspasaron a una planilla Excel (versión 18.0). Se realizó un análisis estadístico con SPSS (versión 25.0). Los pacientes fueron divididos en grupos etarios (60-69 años, 70-79 años, 80-89 años). Las variables fueron resumidas según su media ± desviación estándar (SD).</w:t>
      </w:r>
    </w:p>
    <w:p w:rsidR="001D068D" w:rsidRPr="00FD6FF6" w:rsidRDefault="001A117E" w:rsidP="00E74F8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D6FF6">
        <w:rPr>
          <w:rFonts w:asciiTheme="minorHAnsi" w:hAnsiTheme="minorHAnsi" w:cstheme="minorHAnsi"/>
          <w:sz w:val="22"/>
          <w:szCs w:val="22"/>
          <w:lang w:val="es-ES"/>
        </w:rPr>
        <w:t>Resultados: La edad promedio de los pacientes fue de 78.4±7.7 años y el 82.1% eran mujeres. El peso y talla promedio fue de 63.5±12.5 kg y 160.0±7.7 cm, respectivamente. El riesgo promedio de fractura mayor osteoporótica a 10 años fue de 10.2%, mientras que el riesgo promedio de fractura de cadera a 10 años fue de 5.2%. El 87.7% de los pacientes presentó un FRAX menor al umbral de intervención. En el grupo etario 60-69 años (n=16) el riesgo promedio de fractura mayor osteoporótica a 10 años fue de 3.2%, mientras que el riesgo promedio de fractura de cadera a 10 años fue de 1.1% y el 87.5% de los pacientes presentó un FRAX menor al umbral de intervención. En el grupo etario 70-79 años (n=37) el riesgo promedio de fractura mayor osteoporótica a 10 años fue de 8.6%, mientras que el riesgo promedio de fractura de cadera a 10 años fue de 4.2% y el 83.8% de los pacientes presentó un FRAX menor al umbral de intervención. En el grupo etario 80-89 años (n=53) el riesgo promedio de fractura mayor osteoporótica a 10 años fue de 13.3%, mientras que el riesgo promedio de fractura de cadera a 10 años fue de 7% y el 90.6% de los pacientes presentó un FRAX menor al umbral de intervención.</w:t>
      </w:r>
    </w:p>
    <w:p w:rsidR="001D068D" w:rsidRPr="00FD6FF6" w:rsidRDefault="001A117E" w:rsidP="00E74F8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D6FF6">
        <w:rPr>
          <w:rFonts w:asciiTheme="minorHAnsi" w:hAnsiTheme="minorHAnsi" w:cstheme="minorHAnsi"/>
          <w:sz w:val="22"/>
          <w:szCs w:val="22"/>
          <w:lang w:val="es-ES"/>
        </w:rPr>
        <w:t>Conclusiones: Los umbrales de intervención para la población chilena no lograron clasificar a un 87.7% de los pacientes de alto riesgo el día previo a presentar una fractura osteoporótica de cadera. Estos resultados son similares a los observados en Suiza, China y Turquía. Sugerimos determinar umbrales de intervención para la población chilena de acuerdo con el riesgo de presentar una fractura osteoporótica de cadera a 10 años.</w:t>
      </w:r>
    </w:p>
    <w:p w:rsidR="001A117E" w:rsidRPr="00FD6FF6" w:rsidRDefault="001A117E" w:rsidP="00E74F8B">
      <w:pPr>
        <w:spacing w:after="0" w:line="240" w:lineRule="auto"/>
        <w:rPr>
          <w:rFonts w:eastAsia="Times New Roman" w:cstheme="minorHAnsi"/>
        </w:rPr>
      </w:pPr>
    </w:p>
    <w:sectPr w:rsidR="001A117E" w:rsidRPr="00FD6FF6" w:rsidSect="00B33C8C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72422"/>
    <w:rsid w:val="001A117E"/>
    <w:rsid w:val="001D068D"/>
    <w:rsid w:val="005300C7"/>
    <w:rsid w:val="005E2E77"/>
    <w:rsid w:val="00772422"/>
    <w:rsid w:val="008F5AC7"/>
    <w:rsid w:val="00B33C8C"/>
    <w:rsid w:val="00E74F8B"/>
    <w:rsid w:val="00FD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Sociedad Chilena de Endocrinología y Diabetes</cp:lastModifiedBy>
  <cp:revision>2</cp:revision>
  <dcterms:created xsi:type="dcterms:W3CDTF">2022-10-18T15:39:00Z</dcterms:created>
  <dcterms:modified xsi:type="dcterms:W3CDTF">2022-10-18T15:39:00Z</dcterms:modified>
</cp:coreProperties>
</file>