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58" w:rsidRDefault="00BF5D51" w:rsidP="00330B58">
      <w:pPr>
        <w:spacing w:after="0" w:line="240" w:lineRule="auto"/>
        <w:rPr>
          <w:rFonts w:eastAsia="Times New Roman"/>
          <w:lang w:val="es-ES"/>
        </w:rPr>
      </w:pPr>
      <w:r>
        <w:rPr>
          <w:rFonts w:eastAsia="Times New Roman"/>
          <w:b/>
          <w:bCs/>
          <w:lang w:val="es-ES"/>
        </w:rPr>
        <w:t>TL 24 (</w:t>
      </w:r>
      <w:r w:rsidR="00AD3313" w:rsidRPr="00CD3401">
        <w:rPr>
          <w:rFonts w:eastAsia="Times New Roman"/>
          <w:b/>
          <w:bCs/>
          <w:lang w:val="es-ES"/>
        </w:rPr>
        <w:t>Nº50</w:t>
      </w:r>
      <w:r>
        <w:rPr>
          <w:rFonts w:eastAsia="Times New Roman"/>
          <w:b/>
          <w:bCs/>
          <w:lang w:val="es-ES"/>
        </w:rPr>
        <w:t>)</w:t>
      </w:r>
      <w:r w:rsidR="00AD3313" w:rsidRPr="00CD3401">
        <w:rPr>
          <w:rFonts w:eastAsia="Times New Roman"/>
          <w:b/>
          <w:bCs/>
          <w:lang w:val="es-ES"/>
        </w:rPr>
        <w:br/>
        <w:t>CONCENTRACIONES PREPUBERALES MÁS ALTAS DE IGF-1 SE ASOCIAN A UN TEMPO PUBERAL MÁS TEMPRANO EN AMBOS SEXOS</w:t>
      </w:r>
      <w:r w:rsidR="00AD3313" w:rsidRPr="00CD3401">
        <w:rPr>
          <w:rFonts w:eastAsia="Times New Roman"/>
          <w:lang w:val="es-ES"/>
        </w:rPr>
        <w:br/>
      </w:r>
      <w:r w:rsidR="00AD3313" w:rsidRPr="00CD3401">
        <w:rPr>
          <w:rFonts w:eastAsia="Times New Roman"/>
          <w:b/>
          <w:bCs/>
          <w:lang w:val="es-ES"/>
        </w:rPr>
        <w:t xml:space="preserve">Autor y Coautores: </w:t>
      </w:r>
      <w:r w:rsidR="00AD3313" w:rsidRPr="00CD3401">
        <w:rPr>
          <w:rFonts w:eastAsia="Times New Roman"/>
          <w:lang w:val="es-ES"/>
        </w:rPr>
        <w:t>I</w:t>
      </w:r>
      <w:r w:rsidR="00330B58">
        <w:rPr>
          <w:rFonts w:eastAsia="Times New Roman"/>
          <w:lang w:val="es-ES"/>
        </w:rPr>
        <w:t>NGRID BAIER SÁEZ</w:t>
      </w:r>
      <w:r w:rsidR="00AD3313" w:rsidRPr="00CD3401">
        <w:rPr>
          <w:rFonts w:eastAsia="Times New Roman"/>
          <w:vertAlign w:val="superscript"/>
          <w:lang w:val="es-ES"/>
        </w:rPr>
        <w:t>1</w:t>
      </w:r>
      <w:r w:rsidR="00AD3313" w:rsidRPr="00CD3401">
        <w:rPr>
          <w:rFonts w:eastAsia="Times New Roman"/>
          <w:lang w:val="es-ES"/>
        </w:rPr>
        <w:t>, ANA PEREIRA SCALABRINO</w:t>
      </w:r>
      <w:r w:rsidR="00AD3313" w:rsidRPr="00CD3401">
        <w:rPr>
          <w:rFonts w:eastAsia="Times New Roman"/>
          <w:vertAlign w:val="superscript"/>
          <w:lang w:val="es-ES"/>
        </w:rPr>
        <w:t>2</w:t>
      </w:r>
      <w:r w:rsidR="00AD3313" w:rsidRPr="00CD3401">
        <w:rPr>
          <w:rFonts w:eastAsia="Times New Roman"/>
          <w:lang w:val="es-ES"/>
        </w:rPr>
        <w:t>, P</w:t>
      </w:r>
      <w:r w:rsidR="00330B58">
        <w:rPr>
          <w:rFonts w:eastAsia="Times New Roman"/>
          <w:lang w:val="es-ES"/>
        </w:rPr>
        <w:t>EDRO FERRER</w:t>
      </w:r>
      <w:r w:rsidR="00AD3313" w:rsidRPr="00CD3401">
        <w:rPr>
          <w:rFonts w:eastAsia="Times New Roman"/>
          <w:vertAlign w:val="superscript"/>
          <w:lang w:val="es-ES"/>
        </w:rPr>
        <w:t>2</w:t>
      </w:r>
      <w:r>
        <w:rPr>
          <w:rFonts w:eastAsia="Times New Roman"/>
          <w:lang w:val="es-ES"/>
        </w:rPr>
        <w:t xml:space="preserve">, GERMÁN </w:t>
      </w:r>
      <w:r w:rsidR="00AD3313" w:rsidRPr="00CD3401">
        <w:rPr>
          <w:rFonts w:eastAsia="Times New Roman"/>
          <w:lang w:val="es-ES"/>
        </w:rPr>
        <w:t xml:space="preserve"> IÑIGUEZ VILA</w:t>
      </w:r>
      <w:r w:rsidR="00AD3313" w:rsidRPr="00CD3401">
        <w:rPr>
          <w:rFonts w:eastAsia="Times New Roman"/>
          <w:vertAlign w:val="superscript"/>
          <w:lang w:val="es-ES"/>
        </w:rPr>
        <w:t>3</w:t>
      </w:r>
      <w:r w:rsidR="00AD3313" w:rsidRPr="00CD3401">
        <w:rPr>
          <w:rFonts w:eastAsia="Times New Roman"/>
          <w:lang w:val="es-ES"/>
        </w:rPr>
        <w:t>, MARÍA VERÓNICA MERICQ GUILÁ</w:t>
      </w:r>
      <w:r w:rsidR="00AD3313" w:rsidRPr="00CD3401">
        <w:rPr>
          <w:rFonts w:eastAsia="Times New Roman"/>
          <w:vertAlign w:val="superscript"/>
          <w:lang w:val="es-ES"/>
        </w:rPr>
        <w:t>3</w:t>
      </w:r>
      <w:r w:rsidR="00AD3313" w:rsidRPr="00CD3401">
        <w:rPr>
          <w:rFonts w:eastAsia="Times New Roman"/>
          <w:lang w:val="es-ES"/>
        </w:rPr>
        <w:br/>
      </w:r>
      <w:r w:rsidR="00AD3313" w:rsidRPr="00CD3401">
        <w:rPr>
          <w:rFonts w:eastAsia="Times New Roman"/>
          <w:b/>
          <w:bCs/>
          <w:lang w:val="es-ES"/>
        </w:rPr>
        <w:t xml:space="preserve">Lugar de Trabajo: </w:t>
      </w:r>
      <w:r w:rsidR="00AD3313" w:rsidRPr="00CD3401">
        <w:rPr>
          <w:rFonts w:eastAsia="Times New Roman"/>
          <w:vertAlign w:val="superscript"/>
          <w:lang w:val="es-ES"/>
        </w:rPr>
        <w:t>1</w:t>
      </w:r>
      <w:r w:rsidR="00AD3313" w:rsidRPr="00CD3401">
        <w:rPr>
          <w:rFonts w:eastAsia="Times New Roman"/>
          <w:lang w:val="es-ES"/>
        </w:rPr>
        <w:t xml:space="preserve">Hospital Luis Calvo Mackenna, </w:t>
      </w:r>
      <w:r w:rsidR="00AD3313" w:rsidRPr="00CD3401">
        <w:rPr>
          <w:rFonts w:eastAsia="Times New Roman"/>
          <w:vertAlign w:val="superscript"/>
          <w:lang w:val="es-ES"/>
        </w:rPr>
        <w:t>2</w:t>
      </w:r>
      <w:r w:rsidR="00AD3313" w:rsidRPr="00CD3401">
        <w:rPr>
          <w:rFonts w:eastAsia="Times New Roman"/>
          <w:lang w:val="es-ES"/>
        </w:rPr>
        <w:t xml:space="preserve">INTA, </w:t>
      </w:r>
      <w:r w:rsidR="00AD3313" w:rsidRPr="00CD3401">
        <w:rPr>
          <w:rFonts w:eastAsia="Times New Roman"/>
          <w:vertAlign w:val="superscript"/>
          <w:lang w:val="es-ES"/>
        </w:rPr>
        <w:t>3</w:t>
      </w:r>
      <w:r w:rsidR="00AD3313" w:rsidRPr="00CD3401">
        <w:rPr>
          <w:rFonts w:eastAsia="Times New Roman"/>
          <w:lang w:val="es-ES"/>
        </w:rPr>
        <w:t>Universidad de Chile</w:t>
      </w:r>
    </w:p>
    <w:p w:rsidR="0002585E" w:rsidRDefault="00AD3313" w:rsidP="00330B58">
      <w:pPr>
        <w:spacing w:after="0" w:line="240" w:lineRule="auto"/>
        <w:rPr>
          <w:rFonts w:eastAsia="Times New Roman" w:cstheme="minorHAnsi"/>
          <w:b/>
          <w:bCs/>
          <w:lang w:val="es-ES"/>
        </w:rPr>
      </w:pPr>
      <w:r w:rsidRPr="00330B58">
        <w:rPr>
          <w:rFonts w:eastAsia="Times New Roman" w:cstheme="minorHAnsi"/>
          <w:b/>
          <w:bCs/>
          <w:lang w:val="es-ES"/>
        </w:rPr>
        <w:t xml:space="preserve">Contenido: </w:t>
      </w:r>
    </w:p>
    <w:p w:rsidR="00BF5D51" w:rsidRDefault="00AD3313" w:rsidP="00BF5D5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_GoBack"/>
      <w:bookmarkEnd w:id="0"/>
      <w:r w:rsidRPr="00330B58">
        <w:rPr>
          <w:rFonts w:asciiTheme="minorHAnsi" w:hAnsiTheme="minorHAnsi" w:cstheme="minorHAnsi"/>
          <w:b/>
          <w:sz w:val="22"/>
          <w:szCs w:val="22"/>
          <w:lang w:val="es-ES"/>
        </w:rPr>
        <w:t>Objetivo:</w:t>
      </w:r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El inicio de la pubertad es desencadenado por múltiples interacciones neuroendocrinas. El papel del IGF-1 prepuberal en este proceso no ha sido explorado en ambos sexos. Nuestro objetivo es analizar la asociación de la concentración de IGF-1 prepuberal con la edad de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telarquia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(T2) y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menarquia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(M) en las niñas y la edad de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gonadarquia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(G2) en los niños.</w:t>
      </w:r>
    </w:p>
    <w:p w:rsidR="00BF5D51" w:rsidRDefault="00AD3313" w:rsidP="00BF5D5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30B58">
        <w:rPr>
          <w:rFonts w:asciiTheme="minorHAnsi" w:hAnsiTheme="minorHAnsi" w:cstheme="minorHAnsi"/>
          <w:b/>
          <w:sz w:val="22"/>
          <w:szCs w:val="22"/>
          <w:lang w:val="es-ES"/>
        </w:rPr>
        <w:t>Diseño del estudio</w:t>
      </w:r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: Estudio longitudinal que incluye 1196 niños y niñas. Se realizó evaluación clínica anual de todos los niños hasta el año 2009. De ahí en adelante se inician las evaluaciones semestrales para pesquisar desarrollo puberal y registrar edad de menarquia en las niñas. A la edad de ≈ 6,7 años se obtuvo muestra de sangre para IGF-1. Los sujetos fueron analizados en 4 grupos según la edad de inicio del evento puberal. Para evaluar la relación entre las concentraciones prepuberales de IGF-1 e hitos puberales se realizó un ANOVA junto a un test post hoc de comparaciones múltiples con corrección de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Sidak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para evaluar diferencias entre los grupos. Además se realizaron modelos de regresión de riesgo proporcional para evaluar el riesgo de aparición temprana de T2, M y G2 para un aumento de una desviación estándar en las concentraciones prepuberales de IGF-1. Todos los modelos se ajustaron por peso de nacimiento, talla, IMC, porcentaje de masa grasa y los niveles de dehidroepiandrosterona sulfato (DHEAS), todos ellos en el momento de medir las concentraciones de IGF-1. En las niñas, también se ajustó por edad de menarquia materna.</w:t>
      </w:r>
      <w:r w:rsidRPr="00330B58">
        <w:rPr>
          <w:rFonts w:asciiTheme="minorHAnsi" w:hAnsiTheme="minorHAnsi" w:cstheme="minorHAnsi"/>
          <w:sz w:val="22"/>
          <w:szCs w:val="22"/>
          <w:lang w:val="es-ES"/>
        </w:rPr>
        <w:br/>
      </w:r>
      <w:r w:rsidRPr="00330B58">
        <w:rPr>
          <w:rFonts w:asciiTheme="minorHAnsi" w:hAnsiTheme="minorHAnsi" w:cstheme="minorHAnsi"/>
          <w:b/>
          <w:sz w:val="22"/>
          <w:szCs w:val="22"/>
          <w:lang w:val="es-ES"/>
        </w:rPr>
        <w:t>Resultados:</w:t>
      </w:r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En las niñas se observaron mayores niveles de IGF-1 prepuberal a edades más tempranas de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telarquia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(p=0,003) y de menarquia (p=0,041). Además se observó mayor talla prepuberal a edades más tempranas de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telarquia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y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menarquia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(p=&lt;0,001 y 0,002, respectivamente).</w:t>
      </w:r>
    </w:p>
    <w:p w:rsidR="00BF5D51" w:rsidRDefault="00AD3313" w:rsidP="00BF5D5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Los modelos de regresión de riesgo proporcional (HR) mostraron que, con un aumento de 1 DS en IGF-1, el HR de presentar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telarquia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a edades más tempranas fue de 1,25 y esta asociación se mantuvo cuando se ajustó por las distintas variables confundentes. Del mismo modo, el HR de presentar la menarquia a edades más tempranas fue de 1,21. Esta asociación se mantuvo sólo cuando se ajustó por el IMC pero se perdió con las otras variables.</w:t>
      </w:r>
    </w:p>
    <w:p w:rsidR="0002585E" w:rsidRPr="00330B58" w:rsidRDefault="00AD3313" w:rsidP="00BF5D5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En los varones, las concentraciones de IGF-1 prepuberal mostraron una tendencia a ser significativamente mayores en niños con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gonadarquia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más temprana y con mayor altura (ambos p&lt;0,001). El HR de presentar </w:t>
      </w:r>
      <w:proofErr w:type="spellStart"/>
      <w:r w:rsidRPr="00330B58">
        <w:rPr>
          <w:rFonts w:asciiTheme="minorHAnsi" w:hAnsiTheme="minorHAnsi" w:cstheme="minorHAnsi"/>
          <w:sz w:val="22"/>
          <w:szCs w:val="22"/>
          <w:lang w:val="es-ES"/>
        </w:rPr>
        <w:t>gonadarquia</w:t>
      </w:r>
      <w:proofErr w:type="spellEnd"/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a edades más tempranas fue de 1,22 y esta asociación se mantuvo tras ajustar por todas las variables confundentes.</w:t>
      </w:r>
      <w:r w:rsidRPr="00330B58">
        <w:rPr>
          <w:rFonts w:asciiTheme="minorHAnsi" w:hAnsiTheme="minorHAnsi" w:cstheme="minorHAnsi"/>
          <w:sz w:val="22"/>
          <w:szCs w:val="22"/>
          <w:lang w:val="es-ES"/>
        </w:rPr>
        <w:br/>
      </w:r>
      <w:r w:rsidRPr="00330B58">
        <w:rPr>
          <w:rFonts w:asciiTheme="minorHAnsi" w:hAnsiTheme="minorHAnsi" w:cstheme="minorHAnsi"/>
          <w:b/>
          <w:sz w:val="22"/>
          <w:szCs w:val="22"/>
          <w:lang w:val="es-ES"/>
        </w:rPr>
        <w:t>Conclusiones:</w:t>
      </w:r>
      <w:r w:rsidRPr="00330B58">
        <w:rPr>
          <w:rFonts w:asciiTheme="minorHAnsi" w:hAnsiTheme="minorHAnsi" w:cstheme="minorHAnsi"/>
          <w:sz w:val="22"/>
          <w:szCs w:val="22"/>
          <w:lang w:val="es-ES"/>
        </w:rPr>
        <w:t xml:space="preserve"> Nuestros hallazgos sugieren que las concentraciones de IGF-1 circulantes están implicadas en el inicio de la pubertad en ambos sexos.</w:t>
      </w:r>
    </w:p>
    <w:p w:rsidR="00AD3313" w:rsidRPr="00330B58" w:rsidRDefault="00AD3313" w:rsidP="00BF5D51">
      <w:pPr>
        <w:spacing w:after="0" w:line="240" w:lineRule="auto"/>
        <w:jc w:val="both"/>
        <w:rPr>
          <w:rFonts w:eastAsia="Times New Roman" w:cstheme="minorHAnsi"/>
        </w:rPr>
      </w:pPr>
      <w:r w:rsidRPr="00330B58">
        <w:rPr>
          <w:rFonts w:eastAsia="Times New Roman" w:cstheme="minorHAnsi"/>
          <w:b/>
          <w:bCs/>
        </w:rPr>
        <w:t xml:space="preserve">Financiamiento: </w:t>
      </w:r>
      <w:r w:rsidRPr="00330B58">
        <w:rPr>
          <w:rFonts w:eastAsia="Times New Roman" w:cstheme="minorHAnsi"/>
        </w:rPr>
        <w:t xml:space="preserve">FONDECYT Grants 1140447, 1120326, 1170670, 1190346 </w:t>
      </w:r>
    </w:p>
    <w:sectPr w:rsidR="00AD3313" w:rsidRPr="00330B58" w:rsidSect="00DD5387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B4CC4"/>
    <w:rsid w:val="0002585E"/>
    <w:rsid w:val="00330B58"/>
    <w:rsid w:val="00AD3313"/>
    <w:rsid w:val="00BF5D51"/>
    <w:rsid w:val="00CD3401"/>
    <w:rsid w:val="00DD5387"/>
    <w:rsid w:val="00DF3434"/>
    <w:rsid w:val="00EB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3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Sociedad Chilena de Endocrinología y Diabetes</cp:lastModifiedBy>
  <cp:revision>2</cp:revision>
  <dcterms:created xsi:type="dcterms:W3CDTF">2022-10-19T15:54:00Z</dcterms:created>
  <dcterms:modified xsi:type="dcterms:W3CDTF">2022-10-19T15:54:00Z</dcterms:modified>
</cp:coreProperties>
</file>