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12" w:rsidRDefault="005B6CC8" w:rsidP="00012D12">
      <w:pPr>
        <w:spacing w:after="0" w:line="240" w:lineRule="auto"/>
        <w:jc w:val="both"/>
        <w:rPr>
          <w:rFonts w:eastAsia="Times New Roman"/>
          <w:b/>
          <w:bCs/>
          <w:lang w:val="es-ES"/>
        </w:rPr>
      </w:pPr>
      <w:r>
        <w:rPr>
          <w:rFonts w:eastAsia="Times New Roman"/>
          <w:b/>
          <w:bCs/>
          <w:lang w:val="es-ES"/>
        </w:rPr>
        <w:t>TL 22 (</w:t>
      </w:r>
      <w:r w:rsidR="00024983" w:rsidRPr="004A5E77">
        <w:rPr>
          <w:rFonts w:eastAsia="Times New Roman"/>
          <w:b/>
          <w:bCs/>
          <w:lang w:val="es-ES"/>
        </w:rPr>
        <w:t>Nº62</w:t>
      </w:r>
      <w:r>
        <w:rPr>
          <w:rFonts w:eastAsia="Times New Roman"/>
          <w:b/>
          <w:bCs/>
          <w:lang w:val="es-ES"/>
        </w:rPr>
        <w:t>)</w:t>
      </w:r>
    </w:p>
    <w:p w:rsidR="00012D12" w:rsidRDefault="00024983" w:rsidP="00012D12">
      <w:pPr>
        <w:spacing w:after="0" w:line="240" w:lineRule="auto"/>
        <w:jc w:val="both"/>
        <w:rPr>
          <w:rFonts w:eastAsia="Times New Roman"/>
          <w:b/>
          <w:bCs/>
          <w:lang w:val="es-ES"/>
        </w:rPr>
      </w:pPr>
      <w:r w:rsidRPr="004A5E77">
        <w:rPr>
          <w:rFonts w:eastAsia="Times New Roman"/>
          <w:b/>
          <w:bCs/>
          <w:lang w:val="es-ES"/>
        </w:rPr>
        <w:t>ASOCIACIÓN DE LA EDAD DE GONADARQUIA CON PARÁMETROS HORMONALES DE LA FUNCIÓN TESTICULAR EN EL ADULTO Y VARIANTES GENÉTICAS DE LIN28B</w:t>
      </w:r>
    </w:p>
    <w:p w:rsidR="003733EC" w:rsidRDefault="00024983" w:rsidP="00012D12">
      <w:pPr>
        <w:spacing w:after="0" w:line="240" w:lineRule="auto"/>
        <w:jc w:val="both"/>
        <w:rPr>
          <w:rFonts w:eastAsia="Times New Roman"/>
          <w:lang w:val="es-ES"/>
        </w:rPr>
      </w:pPr>
      <w:r w:rsidRPr="004A5E77">
        <w:rPr>
          <w:rFonts w:eastAsia="Times New Roman"/>
          <w:b/>
          <w:bCs/>
          <w:lang w:val="es-ES"/>
        </w:rPr>
        <w:t xml:space="preserve">Autor y Coautores: </w:t>
      </w:r>
      <w:r w:rsidRPr="004A5E77">
        <w:rPr>
          <w:rFonts w:eastAsia="Times New Roman"/>
          <w:lang w:val="es-ES"/>
        </w:rPr>
        <w:t>M</w:t>
      </w:r>
      <w:r w:rsidR="003733EC">
        <w:rPr>
          <w:rFonts w:eastAsia="Times New Roman"/>
          <w:lang w:val="es-ES"/>
        </w:rPr>
        <w:t>aría</w:t>
      </w:r>
      <w:r w:rsidRPr="004A5E77">
        <w:rPr>
          <w:rFonts w:eastAsia="Times New Roman"/>
          <w:lang w:val="es-ES"/>
        </w:rPr>
        <w:t xml:space="preserve"> C</w:t>
      </w:r>
      <w:r w:rsidR="003733EC">
        <w:rPr>
          <w:rFonts w:eastAsia="Times New Roman"/>
          <w:lang w:val="es-ES"/>
        </w:rPr>
        <w:t>ecilia</w:t>
      </w:r>
      <w:r w:rsidRPr="004A5E77">
        <w:rPr>
          <w:rFonts w:eastAsia="Times New Roman"/>
          <w:lang w:val="es-ES"/>
        </w:rPr>
        <w:t xml:space="preserve"> L</w:t>
      </w:r>
      <w:r w:rsidR="003733EC">
        <w:rPr>
          <w:rFonts w:eastAsia="Times New Roman"/>
          <w:lang w:val="es-ES"/>
        </w:rPr>
        <w:t>ardone</w:t>
      </w:r>
      <w:r w:rsidRPr="004A5E77">
        <w:rPr>
          <w:rFonts w:eastAsia="Times New Roman"/>
          <w:vertAlign w:val="superscript"/>
          <w:lang w:val="es-ES"/>
        </w:rPr>
        <w:t>1</w:t>
      </w:r>
      <w:r w:rsidRPr="004A5E77">
        <w:rPr>
          <w:rFonts w:eastAsia="Times New Roman"/>
          <w:lang w:val="es-ES"/>
        </w:rPr>
        <w:t>, G</w:t>
      </w:r>
      <w:r w:rsidR="003733EC">
        <w:rPr>
          <w:rFonts w:eastAsia="Times New Roman"/>
          <w:lang w:val="es-ES"/>
        </w:rPr>
        <w:t>ermán Iñiguez Vila</w:t>
      </w:r>
      <w:r w:rsidR="004A5E77">
        <w:rPr>
          <w:rFonts w:eastAsia="Times New Roman"/>
          <w:vertAlign w:val="superscript"/>
          <w:lang w:val="es-ES"/>
        </w:rPr>
        <w:t>1</w:t>
      </w:r>
      <w:r w:rsidRPr="004A5E77">
        <w:rPr>
          <w:rFonts w:eastAsia="Times New Roman"/>
          <w:lang w:val="es-ES"/>
        </w:rPr>
        <w:t xml:space="preserve">, </w:t>
      </w:r>
      <w:r w:rsidR="004A5E77">
        <w:rPr>
          <w:rFonts w:eastAsia="Times New Roman"/>
          <w:lang w:val="es-ES"/>
        </w:rPr>
        <w:t>J</w:t>
      </w:r>
      <w:r w:rsidR="003733EC">
        <w:rPr>
          <w:rFonts w:eastAsia="Times New Roman"/>
          <w:lang w:val="es-ES"/>
        </w:rPr>
        <w:t>osé Patricio Miranda</w:t>
      </w:r>
      <w:r w:rsidR="004A5E77">
        <w:rPr>
          <w:rFonts w:eastAsia="Times New Roman"/>
          <w:vertAlign w:val="superscript"/>
          <w:lang w:val="es-ES"/>
        </w:rPr>
        <w:t>6</w:t>
      </w:r>
      <w:r w:rsidR="004A5E77">
        <w:rPr>
          <w:rFonts w:eastAsia="Times New Roman"/>
          <w:lang w:val="es-ES"/>
        </w:rPr>
        <w:t xml:space="preserve">, </w:t>
      </w:r>
      <w:r w:rsidRPr="004A5E77">
        <w:rPr>
          <w:rFonts w:eastAsia="Times New Roman"/>
          <w:lang w:val="es-ES"/>
        </w:rPr>
        <w:t xml:space="preserve">Javiera </w:t>
      </w:r>
      <w:proofErr w:type="spellStart"/>
      <w:r w:rsidRPr="004A5E77">
        <w:rPr>
          <w:rFonts w:eastAsia="Times New Roman"/>
          <w:lang w:val="es-ES"/>
        </w:rPr>
        <w:t>Podlech</w:t>
      </w:r>
      <w:proofErr w:type="spellEnd"/>
      <w:r w:rsidRPr="004A5E77">
        <w:rPr>
          <w:rFonts w:eastAsia="Times New Roman"/>
          <w:lang w:val="es-ES"/>
        </w:rPr>
        <w:t xml:space="preserve"> </w:t>
      </w:r>
      <w:r w:rsidRPr="004A5E77">
        <w:rPr>
          <w:rFonts w:eastAsia="Times New Roman"/>
          <w:vertAlign w:val="superscript"/>
          <w:lang w:val="es-ES"/>
        </w:rPr>
        <w:t>2</w:t>
      </w:r>
      <w:r w:rsidRPr="004A5E77">
        <w:rPr>
          <w:rFonts w:eastAsia="Times New Roman"/>
          <w:lang w:val="es-ES"/>
        </w:rPr>
        <w:t xml:space="preserve">, Ángela </w:t>
      </w:r>
      <w:proofErr w:type="spellStart"/>
      <w:r w:rsidRPr="004A5E77">
        <w:rPr>
          <w:rFonts w:eastAsia="Times New Roman"/>
          <w:lang w:val="es-ES"/>
        </w:rPr>
        <w:t>Portuguez</w:t>
      </w:r>
      <w:proofErr w:type="spellEnd"/>
      <w:r w:rsidRPr="004A5E77">
        <w:rPr>
          <w:rFonts w:eastAsia="Times New Roman"/>
          <w:lang w:val="es-ES"/>
        </w:rPr>
        <w:t xml:space="preserve"> </w:t>
      </w:r>
      <w:r w:rsidRPr="004A5E77">
        <w:rPr>
          <w:rFonts w:eastAsia="Times New Roman"/>
          <w:vertAlign w:val="superscript"/>
          <w:lang w:val="es-ES"/>
        </w:rPr>
        <w:t>2</w:t>
      </w:r>
      <w:r w:rsidRPr="004A5E77">
        <w:rPr>
          <w:rFonts w:eastAsia="Times New Roman"/>
          <w:lang w:val="es-ES"/>
        </w:rPr>
        <w:t xml:space="preserve">, Isabel Raigan </w:t>
      </w:r>
      <w:r w:rsidRPr="004A5E77">
        <w:rPr>
          <w:rFonts w:eastAsia="Times New Roman"/>
          <w:vertAlign w:val="superscript"/>
          <w:lang w:val="es-ES"/>
        </w:rPr>
        <w:t>2</w:t>
      </w:r>
      <w:r w:rsidRPr="004A5E77">
        <w:rPr>
          <w:rFonts w:eastAsia="Times New Roman"/>
          <w:lang w:val="es-ES"/>
        </w:rPr>
        <w:t>, José Luis Santos Martin</w:t>
      </w:r>
      <w:r w:rsidRPr="004A5E77">
        <w:rPr>
          <w:rFonts w:eastAsia="Times New Roman"/>
          <w:vertAlign w:val="superscript"/>
          <w:lang w:val="es-ES"/>
        </w:rPr>
        <w:t>3</w:t>
      </w:r>
      <w:r w:rsidRPr="004A5E77">
        <w:rPr>
          <w:rFonts w:eastAsia="Times New Roman"/>
          <w:lang w:val="es-ES"/>
        </w:rPr>
        <w:t>, A</w:t>
      </w:r>
      <w:r w:rsidR="003733EC">
        <w:rPr>
          <w:rFonts w:eastAsia="Times New Roman"/>
          <w:lang w:val="es-ES"/>
        </w:rPr>
        <w:t>na Pereira Scalabrino</w:t>
      </w:r>
      <w:r w:rsidRPr="004A5E77">
        <w:rPr>
          <w:rFonts w:eastAsia="Times New Roman"/>
          <w:vertAlign w:val="superscript"/>
          <w:lang w:val="es-ES"/>
        </w:rPr>
        <w:t>4</w:t>
      </w:r>
      <w:r w:rsidRPr="004A5E77">
        <w:rPr>
          <w:rFonts w:eastAsia="Times New Roman"/>
          <w:lang w:val="es-ES"/>
        </w:rPr>
        <w:t xml:space="preserve">, </w:t>
      </w:r>
      <w:r w:rsidR="003733EC">
        <w:rPr>
          <w:rFonts w:eastAsia="Times New Roman"/>
          <w:lang w:val="es-ES"/>
        </w:rPr>
        <w:t>María Verónica Mericq Guilá</w:t>
      </w:r>
      <w:r w:rsidR="004A5E77">
        <w:rPr>
          <w:rFonts w:eastAsia="Times New Roman"/>
          <w:vertAlign w:val="superscript"/>
          <w:lang w:val="es-ES"/>
        </w:rPr>
        <w:t>1</w:t>
      </w:r>
      <w:r w:rsidRPr="004A5E77">
        <w:rPr>
          <w:rFonts w:eastAsia="Times New Roman"/>
          <w:lang w:val="es-ES"/>
        </w:rPr>
        <w:br/>
      </w:r>
      <w:r w:rsidRPr="004A5E77">
        <w:rPr>
          <w:rFonts w:eastAsia="Times New Roman"/>
          <w:b/>
          <w:bCs/>
          <w:lang w:val="es-ES"/>
        </w:rPr>
        <w:t xml:space="preserve">Lugar de Trabajo: </w:t>
      </w:r>
      <w:r w:rsidRPr="004A5E77">
        <w:rPr>
          <w:rFonts w:eastAsia="Times New Roman"/>
          <w:vertAlign w:val="superscript"/>
          <w:lang w:val="es-ES"/>
        </w:rPr>
        <w:t>1</w:t>
      </w:r>
      <w:r w:rsidRPr="004A5E77">
        <w:rPr>
          <w:rFonts w:eastAsia="Times New Roman"/>
          <w:lang w:val="es-ES"/>
        </w:rPr>
        <w:t xml:space="preserve"> Instituto de Investigaciones Materno Infantil, Facultad de Medicina, Universidad de Chile, </w:t>
      </w:r>
      <w:r w:rsidRPr="004A5E77">
        <w:rPr>
          <w:rFonts w:eastAsia="Times New Roman"/>
          <w:vertAlign w:val="superscript"/>
          <w:lang w:val="es-ES"/>
        </w:rPr>
        <w:t>2</w:t>
      </w:r>
      <w:r w:rsidRPr="004A5E77">
        <w:rPr>
          <w:rFonts w:eastAsia="Times New Roman"/>
          <w:lang w:val="es-ES"/>
        </w:rPr>
        <w:t xml:space="preserve"> Estudiante carrera de Medicina, Facultad de Medicina, Universidad de Chile, </w:t>
      </w:r>
      <w:r w:rsidRPr="004A5E77">
        <w:rPr>
          <w:rFonts w:eastAsia="Times New Roman"/>
          <w:vertAlign w:val="superscript"/>
          <w:lang w:val="es-ES"/>
        </w:rPr>
        <w:t>3</w:t>
      </w:r>
      <w:r w:rsidRPr="004A5E77">
        <w:rPr>
          <w:rFonts w:eastAsia="Times New Roman"/>
          <w:lang w:val="es-ES"/>
        </w:rPr>
        <w:t xml:space="preserve"> Departamento de Nutrición, Diabetes y Metabolismo, Facultad de Medicina, Pontificia Universidad Católica de Chile, </w:t>
      </w:r>
      <w:r w:rsidRPr="004A5E77">
        <w:rPr>
          <w:rFonts w:eastAsia="Times New Roman"/>
          <w:vertAlign w:val="superscript"/>
          <w:lang w:val="es-ES"/>
        </w:rPr>
        <w:t>4</w:t>
      </w:r>
      <w:r w:rsidRPr="004A5E77">
        <w:rPr>
          <w:rFonts w:eastAsia="Times New Roman"/>
          <w:lang w:val="es-ES"/>
        </w:rPr>
        <w:t xml:space="preserve"> Instituto de Nutrición y Tecnología de los Alimentos, Facultad de Medicina, Universidad de Chile. , </w:t>
      </w:r>
      <w:r w:rsidRPr="004A5E77">
        <w:rPr>
          <w:rFonts w:eastAsia="Times New Roman"/>
          <w:vertAlign w:val="superscript"/>
          <w:lang w:val="es-ES"/>
        </w:rPr>
        <w:t>5</w:t>
      </w:r>
      <w:r w:rsidRPr="004A5E77">
        <w:rPr>
          <w:rFonts w:eastAsia="Times New Roman"/>
          <w:lang w:val="es-ES"/>
        </w:rPr>
        <w:t xml:space="preserve"> Universidad de Chile</w:t>
      </w:r>
      <w:r w:rsidR="004A5E77">
        <w:rPr>
          <w:rFonts w:eastAsia="Times New Roman"/>
          <w:lang w:val="es-ES"/>
        </w:rPr>
        <w:t xml:space="preserve">,  </w:t>
      </w:r>
      <w:r w:rsidR="004A5E77">
        <w:rPr>
          <w:rFonts w:eastAsia="Times New Roman"/>
          <w:vertAlign w:val="superscript"/>
          <w:lang w:val="es-ES"/>
        </w:rPr>
        <w:t xml:space="preserve">6 </w:t>
      </w:r>
      <w:r w:rsidR="004A5E77" w:rsidRPr="004A5E77">
        <w:rPr>
          <w:rFonts w:eastAsia="Times New Roman"/>
          <w:lang w:val="es-ES"/>
        </w:rPr>
        <w:t>Departamento de Nutrición, Diabetes y Metabolismo, Facultad de Medicina, Pontificia Universidad Católica de Chile y Centro Avanzado de Enfermedades Crónicas (ACCDiS), Pontificia Universidad Católica de Chile &amp; Universidad de Chile</w:t>
      </w:r>
    </w:p>
    <w:p w:rsidR="00AA3B60" w:rsidRDefault="00024983" w:rsidP="00012D1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/>
        </w:rPr>
      </w:pPr>
      <w:r w:rsidRPr="003733EC">
        <w:rPr>
          <w:rFonts w:eastAsia="Times New Roman" w:cstheme="minorHAnsi"/>
          <w:b/>
          <w:bCs/>
          <w:sz w:val="24"/>
          <w:szCs w:val="24"/>
          <w:lang w:val="es-ES"/>
        </w:rPr>
        <w:t xml:space="preserve">Contenido: </w:t>
      </w:r>
    </w:p>
    <w:p w:rsidR="00AA3B60" w:rsidRPr="003733EC" w:rsidRDefault="00024983" w:rsidP="00012D1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3733EC">
        <w:rPr>
          <w:rFonts w:asciiTheme="minorHAnsi" w:hAnsiTheme="minorHAnsi" w:cstheme="minorHAnsi"/>
          <w:lang w:val="es-ES"/>
        </w:rPr>
        <w:t>Estudios de asociación de todo el genoma han revelado que polimorfismos de un solo nucleótido (</w:t>
      </w:r>
      <w:proofErr w:type="spellStart"/>
      <w:r w:rsidRPr="003733EC">
        <w:rPr>
          <w:rFonts w:asciiTheme="minorHAnsi" w:hAnsiTheme="minorHAnsi" w:cstheme="minorHAnsi"/>
          <w:lang w:val="es-ES"/>
        </w:rPr>
        <w:t>SNPs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) en </w:t>
      </w:r>
      <w:r w:rsidRPr="003733EC">
        <w:rPr>
          <w:rStyle w:val="nfasis"/>
          <w:rFonts w:asciiTheme="minorHAnsi" w:hAnsiTheme="minorHAnsi" w:cstheme="minorHAnsi"/>
          <w:lang w:val="es-ES"/>
        </w:rPr>
        <w:t>LIN28B</w:t>
      </w:r>
      <w:r w:rsidRPr="003733EC">
        <w:rPr>
          <w:rFonts w:asciiTheme="minorHAnsi" w:hAnsiTheme="minorHAnsi" w:cstheme="minorHAnsi"/>
          <w:lang w:val="es-ES"/>
        </w:rPr>
        <w:t xml:space="preserve"> están fuertemente asociados con rasgos puberales y se ha sugerido que el inicio de la pubertad puede ser un marcador de la función reproductiva masculina en el adulto. </w:t>
      </w:r>
      <w:r w:rsidRPr="003733EC">
        <w:rPr>
          <w:rStyle w:val="Textoennegrita"/>
          <w:rFonts w:asciiTheme="minorHAnsi" w:hAnsiTheme="minorHAnsi" w:cstheme="minorHAnsi"/>
          <w:lang w:val="es-ES"/>
        </w:rPr>
        <w:t>Objetivo:</w:t>
      </w:r>
      <w:r w:rsidRPr="003733EC">
        <w:rPr>
          <w:rFonts w:asciiTheme="minorHAnsi" w:hAnsiTheme="minorHAnsi" w:cstheme="minorHAnsi"/>
          <w:lang w:val="es-ES"/>
        </w:rPr>
        <w:t xml:space="preserve"> Determinar si existe una asociación entre la edad de </w:t>
      </w:r>
      <w:proofErr w:type="spellStart"/>
      <w:r w:rsidRPr="003733EC">
        <w:rPr>
          <w:rFonts w:asciiTheme="minorHAnsi" w:hAnsiTheme="minorHAnsi" w:cstheme="minorHAnsi"/>
          <w:lang w:val="es-ES"/>
        </w:rPr>
        <w:t>gonadarquia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 (G2), </w:t>
      </w:r>
      <w:proofErr w:type="spellStart"/>
      <w:r w:rsidRPr="003733EC">
        <w:rPr>
          <w:rFonts w:asciiTheme="minorHAnsi" w:hAnsiTheme="minorHAnsi" w:cstheme="minorHAnsi"/>
          <w:lang w:val="es-ES"/>
        </w:rPr>
        <w:t>SNPs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 de </w:t>
      </w:r>
      <w:r w:rsidRPr="003733EC">
        <w:rPr>
          <w:rStyle w:val="nfasis"/>
          <w:rFonts w:asciiTheme="minorHAnsi" w:hAnsiTheme="minorHAnsi" w:cstheme="minorHAnsi"/>
          <w:lang w:val="es-ES"/>
        </w:rPr>
        <w:t>LIN28B</w:t>
      </w:r>
      <w:r w:rsidRPr="003733EC">
        <w:rPr>
          <w:rFonts w:asciiTheme="minorHAnsi" w:hAnsiTheme="minorHAnsi" w:cstheme="minorHAnsi"/>
          <w:lang w:val="es-ES"/>
        </w:rPr>
        <w:t xml:space="preserve"> y parámetros hormonales de la función testicular en el adulto joven. </w:t>
      </w:r>
      <w:r w:rsidRPr="003733EC">
        <w:rPr>
          <w:rStyle w:val="Textoennegrita"/>
          <w:rFonts w:asciiTheme="minorHAnsi" w:hAnsiTheme="minorHAnsi" w:cstheme="minorHAnsi"/>
          <w:lang w:val="es-ES"/>
        </w:rPr>
        <w:t>Sujetos y Métodos:</w:t>
      </w:r>
      <w:r w:rsidRPr="003733EC">
        <w:rPr>
          <w:rFonts w:asciiTheme="minorHAnsi" w:hAnsiTheme="minorHAnsi" w:cstheme="minorHAnsi"/>
          <w:lang w:val="es-ES"/>
        </w:rPr>
        <w:t xml:space="preserve"> Se estudiaron 399 voluntarios pertenecientes a la cohorte del Estudio Chileno de Crecimiento y Obesidad (ECO) examinados bianualmente entre los 3 y 15 años, y a los 18 años. La edad de G2 se estimó como la media entre la última visita con maduración sexual en Estadio de Tanner 1 (T1) y la primera visita en T2. El </w:t>
      </w:r>
      <w:proofErr w:type="spellStart"/>
      <w:r w:rsidRPr="003733EC">
        <w:rPr>
          <w:rFonts w:asciiTheme="minorHAnsi" w:hAnsiTheme="minorHAnsi" w:cstheme="minorHAnsi"/>
          <w:lang w:val="es-ES"/>
        </w:rPr>
        <w:t>genotipado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 se realizó mediante la matriz </w:t>
      </w:r>
      <w:proofErr w:type="spellStart"/>
      <w:r w:rsidRPr="003733EC">
        <w:rPr>
          <w:rFonts w:asciiTheme="minorHAnsi" w:hAnsiTheme="minorHAnsi" w:cstheme="minorHAnsi"/>
          <w:lang w:val="es-ES"/>
        </w:rPr>
        <w:t>Infinium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3733EC">
        <w:rPr>
          <w:rFonts w:asciiTheme="minorHAnsi" w:hAnsiTheme="minorHAnsi" w:cstheme="minorHAnsi"/>
          <w:lang w:val="es-ES"/>
        </w:rPr>
        <w:t>Multi-Ethnic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 Global-8 (</w:t>
      </w:r>
      <w:proofErr w:type="spellStart"/>
      <w:r w:rsidRPr="003733EC">
        <w:rPr>
          <w:rFonts w:asciiTheme="minorHAnsi" w:hAnsiTheme="minorHAnsi" w:cstheme="minorHAnsi"/>
          <w:lang w:val="es-ES"/>
        </w:rPr>
        <w:t>Illumina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) extrayendo los genotipos de 6 </w:t>
      </w:r>
      <w:proofErr w:type="spellStart"/>
      <w:r w:rsidRPr="003733EC">
        <w:rPr>
          <w:rFonts w:asciiTheme="minorHAnsi" w:hAnsiTheme="minorHAnsi" w:cstheme="minorHAnsi"/>
          <w:lang w:val="es-ES"/>
        </w:rPr>
        <w:t>SNPs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 de </w:t>
      </w:r>
      <w:r w:rsidRPr="003733EC">
        <w:rPr>
          <w:rStyle w:val="nfasis"/>
          <w:rFonts w:asciiTheme="minorHAnsi" w:hAnsiTheme="minorHAnsi" w:cstheme="minorHAnsi"/>
          <w:lang w:val="es-ES"/>
        </w:rPr>
        <w:t>LIN28B</w:t>
      </w:r>
      <w:r w:rsidRPr="003733EC">
        <w:rPr>
          <w:rFonts w:asciiTheme="minorHAnsi" w:hAnsiTheme="minorHAnsi" w:cstheme="minorHAnsi"/>
          <w:lang w:val="es-ES"/>
        </w:rPr>
        <w:t xml:space="preserve"> (n=399). Los niveles de FSH, LH, Testosterona (T) e </w:t>
      </w:r>
      <w:proofErr w:type="spellStart"/>
      <w:r w:rsidRPr="003733EC">
        <w:rPr>
          <w:rFonts w:asciiTheme="minorHAnsi" w:hAnsiTheme="minorHAnsi" w:cstheme="minorHAnsi"/>
          <w:lang w:val="es-ES"/>
        </w:rPr>
        <w:t>Inhibina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 B (</w:t>
      </w:r>
      <w:proofErr w:type="spellStart"/>
      <w:r w:rsidRPr="003733EC">
        <w:rPr>
          <w:rFonts w:asciiTheme="minorHAnsi" w:hAnsiTheme="minorHAnsi" w:cstheme="minorHAnsi"/>
          <w:lang w:val="es-ES"/>
        </w:rPr>
        <w:t>InhB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) se determinaron por inmunoensayo en muestras de sangre obtenidas a ~18 años (n=154). El análisis de asociación genética se realizó con el programa PLINK 2.0, bajo los modelos genéticos </w:t>
      </w:r>
      <w:proofErr w:type="spellStart"/>
      <w:r w:rsidRPr="003733EC">
        <w:rPr>
          <w:rFonts w:asciiTheme="minorHAnsi" w:hAnsiTheme="minorHAnsi" w:cstheme="minorHAnsi"/>
          <w:lang w:val="es-ES"/>
        </w:rPr>
        <w:t>codominante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 (</w:t>
      </w:r>
      <w:proofErr w:type="spellStart"/>
      <w:r w:rsidRPr="003733EC">
        <w:rPr>
          <w:rFonts w:asciiTheme="minorHAnsi" w:hAnsiTheme="minorHAnsi" w:cstheme="minorHAnsi"/>
          <w:lang w:val="es-ES"/>
        </w:rPr>
        <w:t>CoD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), recesivo, dominante y aditivo (Ad), ajustado por Bonferroni. El análisis regresión lineal para las variables hormonales se ajustó por el IMC z-score a la edad de 18 años (SPSSv21). Las variables FSH e </w:t>
      </w:r>
      <w:proofErr w:type="spellStart"/>
      <w:r w:rsidRPr="003733EC">
        <w:rPr>
          <w:rFonts w:asciiTheme="minorHAnsi" w:hAnsiTheme="minorHAnsi" w:cstheme="minorHAnsi"/>
          <w:lang w:val="es-ES"/>
        </w:rPr>
        <w:t>InhB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/FSH se transformaron a la escala logarítmica y los resultados fueron cuantificados como cambio porcentual. </w:t>
      </w:r>
      <w:r w:rsidRPr="003733EC">
        <w:rPr>
          <w:rFonts w:asciiTheme="minorHAnsi" w:hAnsiTheme="minorHAnsi" w:cstheme="minorHAnsi"/>
        </w:rPr>
        <w:t xml:space="preserve">Valores de P&lt; 0,05 se </w:t>
      </w:r>
      <w:proofErr w:type="spellStart"/>
      <w:r w:rsidRPr="003733EC">
        <w:rPr>
          <w:rFonts w:asciiTheme="minorHAnsi" w:hAnsiTheme="minorHAnsi" w:cstheme="minorHAnsi"/>
        </w:rPr>
        <w:t>consideraron</w:t>
      </w:r>
      <w:proofErr w:type="spellEnd"/>
      <w:r w:rsidRPr="003733EC">
        <w:rPr>
          <w:rFonts w:asciiTheme="minorHAnsi" w:hAnsiTheme="minorHAnsi" w:cstheme="minorHAnsi"/>
        </w:rPr>
        <w:t xml:space="preserve"> </w:t>
      </w:r>
      <w:proofErr w:type="spellStart"/>
      <w:r w:rsidRPr="003733EC">
        <w:rPr>
          <w:rFonts w:asciiTheme="minorHAnsi" w:hAnsiTheme="minorHAnsi" w:cstheme="minorHAnsi"/>
        </w:rPr>
        <w:t>estadísticamente</w:t>
      </w:r>
      <w:proofErr w:type="spellEnd"/>
      <w:r w:rsidRPr="003733EC">
        <w:rPr>
          <w:rFonts w:asciiTheme="minorHAnsi" w:hAnsiTheme="minorHAnsi" w:cstheme="minorHAnsi"/>
        </w:rPr>
        <w:t xml:space="preserve"> </w:t>
      </w:r>
      <w:proofErr w:type="spellStart"/>
      <w:r w:rsidRPr="003733EC">
        <w:rPr>
          <w:rFonts w:asciiTheme="minorHAnsi" w:hAnsiTheme="minorHAnsi" w:cstheme="minorHAnsi"/>
        </w:rPr>
        <w:t>significativos</w:t>
      </w:r>
      <w:proofErr w:type="spellEnd"/>
      <w:r w:rsidRPr="003733EC">
        <w:rPr>
          <w:rFonts w:asciiTheme="minorHAnsi" w:hAnsiTheme="minorHAnsi" w:cstheme="minorHAnsi"/>
        </w:rPr>
        <w:t>.</w:t>
      </w:r>
    </w:p>
    <w:tbl>
      <w:tblPr>
        <w:tblW w:w="52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5"/>
        <w:gridCol w:w="1995"/>
      </w:tblGrid>
      <w:tr w:rsidR="00AA3B60" w:rsidRPr="003733EC">
        <w:trPr>
          <w:tblCellSpacing w:w="15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Style w:val="Textoennegrita"/>
                <w:rFonts w:asciiTheme="minorHAnsi" w:hAnsiTheme="minorHAnsi" w:cstheme="minorHAnsi"/>
              </w:rPr>
              <w:t>TABLA 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Style w:val="Textoennegrita"/>
                <w:rFonts w:asciiTheme="minorHAnsi" w:hAnsiTheme="minorHAnsi" w:cstheme="minorHAnsi"/>
              </w:rPr>
              <w:t>Media (Min; Max)</w:t>
            </w:r>
          </w:p>
        </w:tc>
      </w:tr>
      <w:tr w:rsidR="00AA3B60" w:rsidRPr="003733EC">
        <w:trPr>
          <w:tblCellSpacing w:w="15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3733EC">
              <w:rPr>
                <w:rFonts w:asciiTheme="minorHAnsi" w:hAnsiTheme="minorHAnsi" w:cstheme="minorHAnsi"/>
              </w:rPr>
              <w:t>Edad</w:t>
            </w:r>
            <w:proofErr w:type="spellEnd"/>
            <w:r w:rsidRPr="003733EC">
              <w:rPr>
                <w:rFonts w:asciiTheme="minorHAnsi" w:hAnsiTheme="minorHAnsi" w:cstheme="minorHAnsi"/>
              </w:rPr>
              <w:t xml:space="preserve"> de G2 (años)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Fonts w:asciiTheme="minorHAnsi" w:hAnsiTheme="minorHAnsi" w:cstheme="minorHAnsi"/>
              </w:rPr>
              <w:t>10,8 (6,8; 14)</w:t>
            </w:r>
          </w:p>
        </w:tc>
      </w:tr>
      <w:tr w:rsidR="00AA3B60" w:rsidRPr="003733EC">
        <w:trPr>
          <w:tblCellSpacing w:w="15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s-ES"/>
              </w:rPr>
            </w:pPr>
            <w:r w:rsidRPr="003733EC">
              <w:rPr>
                <w:rFonts w:asciiTheme="minorHAnsi" w:hAnsiTheme="minorHAnsi" w:cstheme="minorHAnsi"/>
                <w:lang w:val="es-ES"/>
              </w:rPr>
              <w:t>IMC z score (edad de G2)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Fonts w:asciiTheme="minorHAnsi" w:hAnsiTheme="minorHAnsi" w:cstheme="minorHAnsi"/>
              </w:rPr>
              <w:t>1,1 (-3,5; 4,9)</w:t>
            </w:r>
          </w:p>
        </w:tc>
      </w:tr>
      <w:tr w:rsidR="00AA3B60" w:rsidRPr="003733EC">
        <w:trPr>
          <w:tblCellSpacing w:w="15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s-ES"/>
              </w:rPr>
            </w:pPr>
            <w:r w:rsidRPr="003733EC">
              <w:rPr>
                <w:rFonts w:asciiTheme="minorHAnsi" w:hAnsiTheme="minorHAnsi" w:cstheme="minorHAnsi"/>
                <w:lang w:val="es-ES"/>
              </w:rPr>
              <w:t>Edad visita de 18 años (años)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Fonts w:asciiTheme="minorHAnsi" w:hAnsiTheme="minorHAnsi" w:cstheme="minorHAnsi"/>
              </w:rPr>
              <w:t>18,6 (18,0; 19,7)</w:t>
            </w:r>
          </w:p>
        </w:tc>
      </w:tr>
      <w:tr w:rsidR="00AA3B60" w:rsidRPr="003733EC">
        <w:trPr>
          <w:tblCellSpacing w:w="15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Fonts w:asciiTheme="minorHAnsi" w:hAnsiTheme="minorHAnsi" w:cstheme="minorHAnsi"/>
              </w:rPr>
              <w:t>IMC z score (18 años)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Fonts w:asciiTheme="minorHAnsi" w:hAnsiTheme="minorHAnsi" w:cstheme="minorHAnsi"/>
              </w:rPr>
              <w:t>0,6 (-2,5; 2,7)</w:t>
            </w:r>
          </w:p>
        </w:tc>
      </w:tr>
      <w:tr w:rsidR="00AA3B60" w:rsidRPr="003733EC">
        <w:trPr>
          <w:tblCellSpacing w:w="15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Fonts w:asciiTheme="minorHAnsi" w:hAnsiTheme="minorHAnsi" w:cstheme="minorHAnsi"/>
              </w:rPr>
              <w:t>FSH (mUI/ml)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Fonts w:asciiTheme="minorHAnsi" w:hAnsiTheme="minorHAnsi" w:cstheme="minorHAnsi"/>
              </w:rPr>
              <w:t>2,9 (0,1; 17,3)</w:t>
            </w:r>
          </w:p>
        </w:tc>
      </w:tr>
      <w:tr w:rsidR="00AA3B60" w:rsidRPr="003733EC">
        <w:trPr>
          <w:tblCellSpacing w:w="15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Fonts w:asciiTheme="minorHAnsi" w:hAnsiTheme="minorHAnsi" w:cstheme="minorHAnsi"/>
              </w:rPr>
              <w:t>LH (mUI/ml)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Fonts w:asciiTheme="minorHAnsi" w:hAnsiTheme="minorHAnsi" w:cstheme="minorHAnsi"/>
              </w:rPr>
              <w:t>4,4 (0,1; 11,4)</w:t>
            </w:r>
          </w:p>
        </w:tc>
      </w:tr>
      <w:tr w:rsidR="00AA3B60" w:rsidRPr="003733EC">
        <w:trPr>
          <w:tblCellSpacing w:w="15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3733EC">
              <w:rPr>
                <w:rFonts w:asciiTheme="minorHAnsi" w:hAnsiTheme="minorHAnsi" w:cstheme="minorHAnsi"/>
              </w:rPr>
              <w:t>InhB</w:t>
            </w:r>
            <w:proofErr w:type="spellEnd"/>
            <w:r w:rsidRPr="003733EC">
              <w:rPr>
                <w:rFonts w:asciiTheme="minorHAnsi" w:hAnsiTheme="minorHAnsi" w:cstheme="minorHAnsi"/>
              </w:rPr>
              <w:t xml:space="preserve"> (pg/ml)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Fonts w:asciiTheme="minorHAnsi" w:hAnsiTheme="minorHAnsi" w:cstheme="minorHAnsi"/>
              </w:rPr>
              <w:t>220,2 (49,2; 410,6)</w:t>
            </w:r>
          </w:p>
        </w:tc>
      </w:tr>
      <w:tr w:rsidR="00AA3B60" w:rsidRPr="003733EC">
        <w:trPr>
          <w:tblCellSpacing w:w="15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Fonts w:asciiTheme="minorHAnsi" w:hAnsiTheme="minorHAnsi" w:cstheme="minorHAnsi"/>
              </w:rPr>
              <w:t>T (ng/ml)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Fonts w:asciiTheme="minorHAnsi" w:hAnsiTheme="minorHAnsi" w:cstheme="minorHAnsi"/>
              </w:rPr>
              <w:t>4,1 (1,4; 8,0)</w:t>
            </w:r>
          </w:p>
        </w:tc>
      </w:tr>
      <w:tr w:rsidR="00AA3B60" w:rsidRPr="003733EC">
        <w:trPr>
          <w:tblCellSpacing w:w="15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Fonts w:asciiTheme="minorHAnsi" w:hAnsiTheme="minorHAnsi" w:cstheme="minorHAnsi"/>
              </w:rPr>
              <w:t>T/LH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Fonts w:asciiTheme="minorHAnsi" w:hAnsiTheme="minorHAnsi" w:cstheme="minorHAnsi"/>
              </w:rPr>
              <w:t>5,5 (1,1; 215,8)</w:t>
            </w:r>
          </w:p>
        </w:tc>
      </w:tr>
      <w:tr w:rsidR="00AA3B60" w:rsidRPr="003733EC">
        <w:trPr>
          <w:tblCellSpacing w:w="15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3733EC">
              <w:rPr>
                <w:rFonts w:asciiTheme="minorHAnsi" w:hAnsiTheme="minorHAnsi" w:cstheme="minorHAnsi"/>
              </w:rPr>
              <w:t>InhB</w:t>
            </w:r>
            <w:proofErr w:type="spellEnd"/>
            <w:r w:rsidRPr="003733EC">
              <w:rPr>
                <w:rFonts w:asciiTheme="minorHAnsi" w:hAnsiTheme="minorHAnsi" w:cstheme="minorHAnsi"/>
              </w:rPr>
              <w:t>/FSH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B60" w:rsidRPr="003733EC" w:rsidRDefault="00024983" w:rsidP="00373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733EC">
              <w:rPr>
                <w:rFonts w:asciiTheme="minorHAnsi" w:hAnsiTheme="minorHAnsi" w:cstheme="minorHAnsi"/>
              </w:rPr>
              <w:t>128 (2,8; 1368,7)</w:t>
            </w:r>
          </w:p>
        </w:tc>
      </w:tr>
    </w:tbl>
    <w:p w:rsidR="00AA3B60" w:rsidRPr="003733EC" w:rsidRDefault="00024983" w:rsidP="00012D1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ES"/>
        </w:rPr>
      </w:pPr>
      <w:r w:rsidRPr="003733EC">
        <w:rPr>
          <w:rStyle w:val="Textoennegrita"/>
          <w:rFonts w:asciiTheme="minorHAnsi" w:hAnsiTheme="minorHAnsi" w:cstheme="minorHAnsi"/>
          <w:lang w:val="es-ES"/>
        </w:rPr>
        <w:t>Resultados:</w:t>
      </w:r>
      <w:r w:rsidRPr="003733EC">
        <w:rPr>
          <w:rFonts w:asciiTheme="minorHAnsi" w:hAnsiTheme="minorHAnsi" w:cstheme="minorHAnsi"/>
          <w:lang w:val="es-ES"/>
        </w:rPr>
        <w:t xml:space="preserve"> La Tabla 1 muestra las características antropométricas y niveles hormonales. El análisis de asociación genética fue significativo entre la edad de G2 y rs314277_A en el modelo Ad y </w:t>
      </w:r>
      <w:proofErr w:type="spellStart"/>
      <w:r w:rsidRPr="003733EC">
        <w:rPr>
          <w:rFonts w:asciiTheme="minorHAnsi" w:hAnsiTheme="minorHAnsi" w:cstheme="minorHAnsi"/>
          <w:lang w:val="es-ES"/>
        </w:rPr>
        <w:t>CoD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 ajustado por IMC z-score (</w:t>
      </w:r>
      <w:r w:rsidRPr="003733EC">
        <w:rPr>
          <w:rFonts w:asciiTheme="minorHAnsi" w:hAnsiTheme="minorHAnsi" w:cstheme="minorHAnsi"/>
        </w:rPr>
        <w:t>β</w:t>
      </w:r>
      <w:r w:rsidRPr="003733EC">
        <w:rPr>
          <w:rFonts w:asciiTheme="minorHAnsi" w:hAnsiTheme="minorHAnsi" w:cstheme="minorHAnsi"/>
          <w:lang w:val="es-ES"/>
        </w:rPr>
        <w:t xml:space="preserve">= 0,584 y P= 0,020; </w:t>
      </w:r>
      <w:r w:rsidRPr="003733EC">
        <w:rPr>
          <w:rFonts w:asciiTheme="minorHAnsi" w:hAnsiTheme="minorHAnsi" w:cstheme="minorHAnsi"/>
        </w:rPr>
        <w:t>β</w:t>
      </w:r>
      <w:r w:rsidRPr="003733EC">
        <w:rPr>
          <w:rFonts w:asciiTheme="minorHAnsi" w:hAnsiTheme="minorHAnsi" w:cstheme="minorHAnsi"/>
          <w:lang w:val="es-ES"/>
        </w:rPr>
        <w:t xml:space="preserve">= 0,542 y P= 0,025, respectivamente) y con rs314279_C en el modelo </w:t>
      </w:r>
      <w:proofErr w:type="spellStart"/>
      <w:r w:rsidRPr="003733EC">
        <w:rPr>
          <w:rFonts w:asciiTheme="minorHAnsi" w:hAnsiTheme="minorHAnsi" w:cstheme="minorHAnsi"/>
          <w:lang w:val="es-ES"/>
        </w:rPr>
        <w:t>CoD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 (P= 0,013). La edad de G2 fue 0,75 años mayor en niños con rs314279_C/A (P= 0,006). No se encontró asociación con los niveles hormonales. Sin embargo, la edad de G2 se asoció con un aumento del 10% (P= 0,01) en los niveles de FSH y una disminución del 12,7% (P= 0,01) de </w:t>
      </w:r>
      <w:proofErr w:type="spellStart"/>
      <w:r w:rsidRPr="003733EC">
        <w:rPr>
          <w:rFonts w:asciiTheme="minorHAnsi" w:hAnsiTheme="minorHAnsi" w:cstheme="minorHAnsi"/>
          <w:lang w:val="es-ES"/>
        </w:rPr>
        <w:t>InhB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/FSH. </w:t>
      </w:r>
      <w:r w:rsidRPr="003733EC">
        <w:rPr>
          <w:rStyle w:val="Textoennegrita"/>
          <w:rFonts w:asciiTheme="minorHAnsi" w:hAnsiTheme="minorHAnsi" w:cstheme="minorHAnsi"/>
          <w:lang w:val="es-ES"/>
        </w:rPr>
        <w:t>Conclusiones:</w:t>
      </w:r>
      <w:r w:rsidRPr="003733EC">
        <w:rPr>
          <w:rFonts w:asciiTheme="minorHAnsi" w:hAnsiTheme="minorHAnsi" w:cstheme="minorHAnsi"/>
          <w:lang w:val="es-ES"/>
        </w:rPr>
        <w:t xml:space="preserve"> En una cohorte de niños sanos extensamente caracterizados corroboramos la asociación de polimorfismos de </w:t>
      </w:r>
      <w:r w:rsidRPr="003733EC">
        <w:rPr>
          <w:rStyle w:val="nfasis"/>
          <w:rFonts w:asciiTheme="minorHAnsi" w:hAnsiTheme="minorHAnsi" w:cstheme="minorHAnsi"/>
          <w:lang w:val="es-ES"/>
        </w:rPr>
        <w:t>LIN28B</w:t>
      </w:r>
      <w:r w:rsidRPr="003733EC">
        <w:rPr>
          <w:rFonts w:asciiTheme="minorHAnsi" w:hAnsiTheme="minorHAnsi" w:cstheme="minorHAnsi"/>
          <w:lang w:val="es-ES"/>
        </w:rPr>
        <w:t xml:space="preserve"> con la edad de </w:t>
      </w:r>
      <w:proofErr w:type="spellStart"/>
      <w:r w:rsidRPr="003733EC">
        <w:rPr>
          <w:rFonts w:asciiTheme="minorHAnsi" w:hAnsiTheme="minorHAnsi" w:cstheme="minorHAnsi"/>
          <w:lang w:val="es-ES"/>
        </w:rPr>
        <w:t>gonadarquia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. Además, encontramos que, especialmente un inicio más temprano de la pubertad está asociado con niveles más bajos de FSH en el adulto, sugiriendo que la edad de </w:t>
      </w:r>
      <w:proofErr w:type="spellStart"/>
      <w:r w:rsidRPr="003733EC">
        <w:rPr>
          <w:rFonts w:asciiTheme="minorHAnsi" w:hAnsiTheme="minorHAnsi" w:cstheme="minorHAnsi"/>
          <w:lang w:val="es-ES"/>
        </w:rPr>
        <w:t>gonadarquia</w:t>
      </w:r>
      <w:proofErr w:type="spellEnd"/>
      <w:r w:rsidRPr="003733EC">
        <w:rPr>
          <w:rFonts w:asciiTheme="minorHAnsi" w:hAnsiTheme="minorHAnsi" w:cstheme="minorHAnsi"/>
          <w:lang w:val="es-ES"/>
        </w:rPr>
        <w:t xml:space="preserve"> podría afectar la función testicular en la vida adulta. Mayores estudios serán necesarios para establecer la asociación con las variantes génicas de </w:t>
      </w:r>
      <w:r w:rsidRPr="003733EC">
        <w:rPr>
          <w:rStyle w:val="nfasis"/>
          <w:rFonts w:asciiTheme="minorHAnsi" w:hAnsiTheme="minorHAnsi" w:cstheme="minorHAnsi"/>
          <w:lang w:val="es-ES"/>
        </w:rPr>
        <w:t>LIN28B</w:t>
      </w:r>
      <w:r w:rsidRPr="003733EC">
        <w:rPr>
          <w:rFonts w:asciiTheme="minorHAnsi" w:hAnsiTheme="minorHAnsi" w:cstheme="minorHAnsi"/>
          <w:lang w:val="es-ES"/>
        </w:rPr>
        <w:t>.</w:t>
      </w:r>
    </w:p>
    <w:p w:rsidR="00024983" w:rsidRPr="003733EC" w:rsidRDefault="00024983" w:rsidP="00012D1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733EC">
        <w:rPr>
          <w:rFonts w:eastAsia="Times New Roman" w:cstheme="minorHAnsi"/>
          <w:b/>
          <w:bCs/>
          <w:sz w:val="24"/>
          <w:szCs w:val="24"/>
        </w:rPr>
        <w:t xml:space="preserve">Financiamiento: </w:t>
      </w:r>
      <w:r w:rsidRPr="003733EC">
        <w:rPr>
          <w:rFonts w:eastAsia="Times New Roman" w:cstheme="minorHAnsi"/>
          <w:sz w:val="24"/>
          <w:szCs w:val="24"/>
        </w:rPr>
        <w:t xml:space="preserve">FONDECYT INICIACION #11200898 </w:t>
      </w:r>
    </w:p>
    <w:sectPr w:rsidR="00024983" w:rsidRPr="003733EC" w:rsidSect="00012D12">
      <w:pgSz w:w="12240" w:h="20160" w:code="5"/>
      <w:pgMar w:top="600" w:right="600" w:bottom="600" w:left="6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3059F7"/>
    <w:rsid w:val="00012D12"/>
    <w:rsid w:val="00024983"/>
    <w:rsid w:val="00276ACC"/>
    <w:rsid w:val="003059F7"/>
    <w:rsid w:val="003733EC"/>
    <w:rsid w:val="004A5E77"/>
    <w:rsid w:val="005B6CC8"/>
    <w:rsid w:val="00AA3B60"/>
    <w:rsid w:val="00B7203F"/>
    <w:rsid w:val="00C0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0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B7203F"/>
    <w:rPr>
      <w:i/>
      <w:iCs/>
    </w:rPr>
  </w:style>
  <w:style w:type="character" w:styleId="Textoennegrita">
    <w:name w:val="Strong"/>
    <w:basedOn w:val="Fuentedeprrafopredeter"/>
    <w:uiPriority w:val="22"/>
    <w:qFormat/>
    <w:rsid w:val="00B720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Sociedad Chilena de Endocrinología y Diabetes</cp:lastModifiedBy>
  <cp:revision>3</cp:revision>
  <dcterms:created xsi:type="dcterms:W3CDTF">2022-10-19T15:50:00Z</dcterms:created>
  <dcterms:modified xsi:type="dcterms:W3CDTF">2022-10-19T15:50:00Z</dcterms:modified>
</cp:coreProperties>
</file>