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8C" w:rsidRDefault="00D856A4" w:rsidP="001A4C8C">
      <w:pPr>
        <w:spacing w:after="0" w:line="240" w:lineRule="auto"/>
        <w:rPr>
          <w:rFonts w:eastAsia="Times New Roman"/>
          <w:lang w:val="es-ES"/>
        </w:rPr>
      </w:pPr>
      <w:r>
        <w:rPr>
          <w:rFonts w:eastAsia="Times New Roman"/>
          <w:b/>
          <w:bCs/>
          <w:lang w:val="es-ES"/>
        </w:rPr>
        <w:t>TL 18 (</w:t>
      </w:r>
      <w:r w:rsidR="00E771E5" w:rsidRPr="001A4C8C">
        <w:rPr>
          <w:rFonts w:eastAsia="Times New Roman"/>
          <w:b/>
          <w:bCs/>
          <w:lang w:val="es-ES"/>
        </w:rPr>
        <w:t>Nº88</w:t>
      </w:r>
      <w:r>
        <w:rPr>
          <w:rFonts w:eastAsia="Times New Roman"/>
          <w:b/>
          <w:bCs/>
          <w:lang w:val="es-ES"/>
        </w:rPr>
        <w:t>)</w:t>
      </w:r>
      <w:r w:rsidR="00E771E5" w:rsidRPr="001A4C8C">
        <w:rPr>
          <w:rFonts w:eastAsia="Times New Roman"/>
          <w:b/>
          <w:bCs/>
          <w:lang w:val="es-ES"/>
        </w:rPr>
        <w:br/>
        <w:t>MEDICIÓN DE CORTISOL Y CORTISONA EN PELO EN EL ESTUDIO DE ADENOMAS SUPRARRENALES INCIDENTALES: UN NUEVO TEST DIAGNÓSTICO PARA HIPERCORTISOLISMO SUPRARRENAL</w:t>
      </w:r>
      <w:r w:rsidR="00E771E5" w:rsidRPr="001A4C8C">
        <w:rPr>
          <w:rFonts w:eastAsia="Times New Roman"/>
          <w:lang w:val="es-ES"/>
        </w:rPr>
        <w:br/>
      </w:r>
      <w:r w:rsidR="00E771E5" w:rsidRPr="001A4C8C">
        <w:rPr>
          <w:rFonts w:eastAsia="Times New Roman"/>
          <w:b/>
          <w:bCs/>
          <w:lang w:val="es-ES"/>
        </w:rPr>
        <w:t xml:space="preserve">Autor y Coautores: </w:t>
      </w:r>
      <w:r w:rsidR="00E771E5" w:rsidRPr="001A4C8C">
        <w:rPr>
          <w:rFonts w:eastAsia="Times New Roman"/>
          <w:lang w:val="es-ES"/>
        </w:rPr>
        <w:t>ALBERTH BURNIER CÁCERES</w:t>
      </w:r>
      <w:r w:rsidR="00E771E5" w:rsidRPr="001A4C8C">
        <w:rPr>
          <w:rFonts w:eastAsia="Times New Roman"/>
          <w:vertAlign w:val="superscript"/>
          <w:lang w:val="es-ES"/>
        </w:rPr>
        <w:t>6</w:t>
      </w:r>
      <w:r w:rsidR="00E771E5" w:rsidRPr="001A4C8C">
        <w:rPr>
          <w:rFonts w:eastAsia="Times New Roman"/>
          <w:lang w:val="es-ES"/>
        </w:rPr>
        <w:t>, THOMAS USLAR NAWARTH</w:t>
      </w:r>
      <w:r w:rsidR="00E771E5" w:rsidRPr="001A4C8C">
        <w:rPr>
          <w:rFonts w:eastAsia="Times New Roman"/>
          <w:vertAlign w:val="superscript"/>
          <w:lang w:val="es-ES"/>
        </w:rPr>
        <w:t>10</w:t>
      </w:r>
      <w:r>
        <w:rPr>
          <w:rFonts w:eastAsia="Times New Roman"/>
          <w:lang w:val="es-ES"/>
        </w:rPr>
        <w:t>, ROBERTO OLMOS BORZONE</w:t>
      </w:r>
      <w:r w:rsidR="00E771E5" w:rsidRPr="001A4C8C">
        <w:rPr>
          <w:rFonts w:eastAsia="Times New Roman"/>
          <w:vertAlign w:val="superscript"/>
          <w:lang w:val="es-ES"/>
        </w:rPr>
        <w:t>1</w:t>
      </w:r>
      <w:r w:rsidR="00E771E5" w:rsidRPr="001A4C8C">
        <w:rPr>
          <w:rFonts w:eastAsia="Times New Roman"/>
          <w:lang w:val="es-ES"/>
        </w:rPr>
        <w:t>, PAULINE BÖHM GHIRINGHELLI</w:t>
      </w:r>
      <w:r w:rsidR="00E771E5" w:rsidRPr="001A4C8C">
        <w:rPr>
          <w:rFonts w:eastAsia="Times New Roman"/>
          <w:vertAlign w:val="superscript"/>
          <w:lang w:val="es-ES"/>
        </w:rPr>
        <w:t>2</w:t>
      </w:r>
      <w:r w:rsidR="00E771E5" w:rsidRPr="001A4C8C">
        <w:rPr>
          <w:rFonts w:eastAsia="Times New Roman"/>
          <w:lang w:val="es-ES"/>
        </w:rPr>
        <w:t>, FIDEL ALLENDE SANZANA</w:t>
      </w:r>
      <w:r w:rsidR="00E771E5" w:rsidRPr="001A4C8C">
        <w:rPr>
          <w:rFonts w:eastAsia="Times New Roman"/>
          <w:vertAlign w:val="superscript"/>
          <w:lang w:val="es-ES"/>
        </w:rPr>
        <w:t>3</w:t>
      </w:r>
      <w:r w:rsidR="00E771E5" w:rsidRPr="001A4C8C">
        <w:rPr>
          <w:rFonts w:eastAsia="Times New Roman"/>
          <w:lang w:val="es-ES"/>
        </w:rPr>
        <w:t>, PALMENIA PIZARRO PARRA</w:t>
      </w:r>
      <w:r w:rsidR="00E771E5" w:rsidRPr="001A4C8C">
        <w:rPr>
          <w:rFonts w:eastAsia="Times New Roman"/>
          <w:vertAlign w:val="superscript"/>
          <w:lang w:val="es-ES"/>
        </w:rPr>
        <w:t>4</w:t>
      </w:r>
      <w:r w:rsidR="00E771E5" w:rsidRPr="001A4C8C">
        <w:rPr>
          <w:rFonts w:eastAsia="Times New Roman"/>
          <w:lang w:val="es-ES"/>
        </w:rPr>
        <w:t>, ÁLVARO HUETE GARÍN</w:t>
      </w:r>
      <w:r w:rsidR="00E771E5" w:rsidRPr="001A4C8C">
        <w:rPr>
          <w:rFonts w:eastAsia="Times New Roman"/>
          <w:vertAlign w:val="superscript"/>
          <w:lang w:val="es-ES"/>
        </w:rPr>
        <w:t>5</w:t>
      </w:r>
      <w:r w:rsidR="00E771E5" w:rsidRPr="001A4C8C">
        <w:rPr>
          <w:rFonts w:eastAsia="Times New Roman"/>
          <w:lang w:val="es-ES"/>
        </w:rPr>
        <w:t>, CARLOS FARDELLA BELLO</w:t>
      </w:r>
      <w:r w:rsidR="00E771E5" w:rsidRPr="001A4C8C">
        <w:rPr>
          <w:rFonts w:eastAsia="Times New Roman"/>
          <w:vertAlign w:val="superscript"/>
          <w:lang w:val="es-ES"/>
        </w:rPr>
        <w:t>6</w:t>
      </w:r>
      <w:r w:rsidR="00E771E5" w:rsidRPr="001A4C8C">
        <w:rPr>
          <w:rFonts w:eastAsia="Times New Roman"/>
          <w:lang w:val="es-ES"/>
        </w:rPr>
        <w:t>, FRANCISCO GUARDA VEGA</w:t>
      </w:r>
      <w:r w:rsidR="00E771E5" w:rsidRPr="001A4C8C">
        <w:rPr>
          <w:rFonts w:eastAsia="Times New Roman"/>
          <w:vertAlign w:val="superscript"/>
          <w:lang w:val="es-ES"/>
        </w:rPr>
        <w:t>6</w:t>
      </w:r>
      <w:r w:rsidR="00E771E5" w:rsidRPr="001A4C8C">
        <w:rPr>
          <w:rFonts w:eastAsia="Times New Roman"/>
          <w:lang w:val="es-ES"/>
        </w:rPr>
        <w:t>, STEFANO MACCHIAVELLO THEODULOZ</w:t>
      </w:r>
      <w:r w:rsidR="00E771E5" w:rsidRPr="001A4C8C">
        <w:rPr>
          <w:rFonts w:eastAsia="Times New Roman"/>
          <w:vertAlign w:val="superscript"/>
          <w:lang w:val="es-ES"/>
        </w:rPr>
        <w:t>7</w:t>
      </w:r>
      <w:r w:rsidR="00E771E5" w:rsidRPr="001A4C8C">
        <w:rPr>
          <w:rFonts w:eastAsia="Times New Roman"/>
          <w:lang w:val="es-ES"/>
        </w:rPr>
        <w:t>, E</w:t>
      </w:r>
      <w:r w:rsidR="001A4C8C">
        <w:rPr>
          <w:rFonts w:eastAsia="Times New Roman"/>
          <w:lang w:val="es-ES"/>
        </w:rPr>
        <w:t>LIZABETH VAN ROSSUM</w:t>
      </w:r>
      <w:r w:rsidR="00E771E5" w:rsidRPr="001A4C8C">
        <w:rPr>
          <w:rFonts w:eastAsia="Times New Roman"/>
          <w:vertAlign w:val="superscript"/>
          <w:lang w:val="es-ES"/>
        </w:rPr>
        <w:t>8</w:t>
      </w:r>
      <w:r w:rsidR="00E771E5" w:rsidRPr="001A4C8C">
        <w:rPr>
          <w:rFonts w:eastAsia="Times New Roman"/>
          <w:lang w:val="es-ES"/>
        </w:rPr>
        <w:t>, S</w:t>
      </w:r>
      <w:r w:rsidR="001A4C8C">
        <w:rPr>
          <w:rFonts w:eastAsia="Times New Roman"/>
          <w:lang w:val="es-ES"/>
        </w:rPr>
        <w:t>JOERD VAN DEN BERG</w:t>
      </w:r>
      <w:r w:rsidR="00E771E5" w:rsidRPr="001A4C8C">
        <w:rPr>
          <w:rFonts w:eastAsia="Times New Roman"/>
          <w:vertAlign w:val="superscript"/>
          <w:lang w:val="es-ES"/>
        </w:rPr>
        <w:t>8</w:t>
      </w:r>
      <w:r w:rsidR="00E771E5" w:rsidRPr="001A4C8C">
        <w:rPr>
          <w:rFonts w:eastAsia="Times New Roman"/>
          <w:lang w:val="es-ES"/>
        </w:rPr>
        <w:t>, ÁLVARO PASSI SOLAR</w:t>
      </w:r>
      <w:r w:rsidR="00E771E5" w:rsidRPr="001A4C8C">
        <w:rPr>
          <w:rFonts w:eastAsia="Times New Roman"/>
          <w:vertAlign w:val="superscript"/>
          <w:lang w:val="es-ES"/>
        </w:rPr>
        <w:t>9</w:t>
      </w:r>
      <w:r w:rsidR="00E771E5" w:rsidRPr="001A4C8C">
        <w:rPr>
          <w:rFonts w:eastAsia="Times New Roman"/>
          <w:lang w:val="es-ES"/>
        </w:rPr>
        <w:t>, RENÉ BAUDRAND BIGGS</w:t>
      </w:r>
      <w:r w:rsidR="00E771E5" w:rsidRPr="001A4C8C">
        <w:rPr>
          <w:rFonts w:eastAsia="Times New Roman"/>
          <w:vertAlign w:val="superscript"/>
          <w:lang w:val="es-ES"/>
        </w:rPr>
        <w:t>10</w:t>
      </w:r>
      <w:r w:rsidR="00E771E5" w:rsidRPr="001A4C8C">
        <w:rPr>
          <w:rFonts w:eastAsia="Times New Roman"/>
          <w:lang w:val="es-ES"/>
        </w:rPr>
        <w:br/>
      </w:r>
      <w:r w:rsidR="00E771E5" w:rsidRPr="001A4C8C">
        <w:rPr>
          <w:rFonts w:eastAsia="Times New Roman"/>
          <w:b/>
          <w:bCs/>
          <w:lang w:val="es-ES"/>
        </w:rPr>
        <w:t xml:space="preserve">Lugar de Trabajo: </w:t>
      </w:r>
      <w:r w:rsidR="00E771E5" w:rsidRPr="001A4C8C">
        <w:rPr>
          <w:rFonts w:eastAsia="Times New Roman"/>
          <w:vertAlign w:val="superscript"/>
          <w:lang w:val="es-ES"/>
        </w:rPr>
        <w:t>1</w:t>
      </w:r>
      <w:r w:rsidR="00E771E5" w:rsidRPr="001A4C8C">
        <w:rPr>
          <w:rFonts w:eastAsia="Times New Roman"/>
          <w:lang w:val="es-ES"/>
        </w:rPr>
        <w:t xml:space="preserve"> Hospital DIPRECA, </w:t>
      </w:r>
      <w:r w:rsidR="00E771E5" w:rsidRPr="001A4C8C">
        <w:rPr>
          <w:rFonts w:eastAsia="Times New Roman"/>
          <w:vertAlign w:val="superscript"/>
          <w:lang w:val="es-ES"/>
        </w:rPr>
        <w:t>2</w:t>
      </w:r>
      <w:r w:rsidR="00E771E5" w:rsidRPr="001A4C8C">
        <w:rPr>
          <w:rFonts w:eastAsia="Times New Roman"/>
          <w:lang w:val="es-ES"/>
        </w:rPr>
        <w:t xml:space="preserve"> Facultad de Medicina, Pontificia Universidad Católica de Chile, </w:t>
      </w:r>
      <w:r w:rsidR="00E771E5" w:rsidRPr="001A4C8C">
        <w:rPr>
          <w:rFonts w:eastAsia="Times New Roman"/>
          <w:vertAlign w:val="superscript"/>
          <w:lang w:val="es-ES"/>
        </w:rPr>
        <w:t>3</w:t>
      </w:r>
      <w:r w:rsidR="00E771E5" w:rsidRPr="001A4C8C">
        <w:rPr>
          <w:rFonts w:eastAsia="Times New Roman"/>
          <w:lang w:val="es-ES"/>
        </w:rPr>
        <w:t xml:space="preserve"> Laboratorio Clínico, Facultad Medicina, Pontificia Universidad Católica de Chile, </w:t>
      </w:r>
      <w:r w:rsidR="00E771E5" w:rsidRPr="001A4C8C">
        <w:rPr>
          <w:rFonts w:eastAsia="Times New Roman"/>
          <w:vertAlign w:val="superscript"/>
          <w:lang w:val="es-ES"/>
        </w:rPr>
        <w:t>4</w:t>
      </w:r>
      <w:r w:rsidR="00E771E5" w:rsidRPr="001A4C8C">
        <w:rPr>
          <w:rFonts w:eastAsia="Times New Roman"/>
          <w:lang w:val="es-ES"/>
        </w:rPr>
        <w:t xml:space="preserve"> CETREN UC Programa de Enfermedades Suprarrenales e Hipertensión Endocrina, </w:t>
      </w:r>
      <w:r w:rsidR="00E771E5" w:rsidRPr="001A4C8C">
        <w:rPr>
          <w:rFonts w:eastAsia="Times New Roman"/>
          <w:vertAlign w:val="superscript"/>
          <w:lang w:val="es-ES"/>
        </w:rPr>
        <w:t>5</w:t>
      </w:r>
      <w:r w:rsidR="00E771E5" w:rsidRPr="001A4C8C">
        <w:rPr>
          <w:rFonts w:eastAsia="Times New Roman"/>
          <w:lang w:val="es-ES"/>
        </w:rPr>
        <w:t xml:space="preserve"> Departamento de Radiología, Facultad Medicina, Pontificia Universidad Católica de Chile, </w:t>
      </w:r>
      <w:r w:rsidR="00E771E5" w:rsidRPr="001A4C8C">
        <w:rPr>
          <w:rFonts w:eastAsia="Times New Roman"/>
          <w:vertAlign w:val="superscript"/>
          <w:lang w:val="es-ES"/>
        </w:rPr>
        <w:t>6</w:t>
      </w:r>
      <w:r w:rsidR="00E771E5" w:rsidRPr="001A4C8C">
        <w:rPr>
          <w:rFonts w:eastAsia="Times New Roman"/>
          <w:lang w:val="es-ES"/>
        </w:rPr>
        <w:t xml:space="preserve"> Departamento de Endocrinología, Facultad Medicina, Pontificia Universidad Católica de Chile, </w:t>
      </w:r>
      <w:r w:rsidR="00E771E5" w:rsidRPr="001A4C8C">
        <w:rPr>
          <w:rFonts w:eastAsia="Times New Roman"/>
          <w:vertAlign w:val="superscript"/>
          <w:lang w:val="es-ES"/>
        </w:rPr>
        <w:t>7</w:t>
      </w:r>
      <w:r w:rsidR="00E771E5" w:rsidRPr="001A4C8C">
        <w:rPr>
          <w:rFonts w:eastAsia="Times New Roman"/>
          <w:lang w:val="es-ES"/>
        </w:rPr>
        <w:t xml:space="preserve"> División de Endocrinología, Complejo Asistencial Sótero del Río, </w:t>
      </w:r>
      <w:r w:rsidR="00E771E5" w:rsidRPr="001A4C8C">
        <w:rPr>
          <w:rFonts w:eastAsia="Times New Roman"/>
          <w:vertAlign w:val="superscript"/>
          <w:lang w:val="es-ES"/>
        </w:rPr>
        <w:t>8</w:t>
      </w:r>
      <w:r w:rsidR="00E771E5" w:rsidRPr="001A4C8C">
        <w:rPr>
          <w:rFonts w:eastAsia="Times New Roman"/>
          <w:lang w:val="es-ES"/>
        </w:rPr>
        <w:t xml:space="preserve"> Erasmus Medical Center, Rotterdam. </w:t>
      </w:r>
      <w:proofErr w:type="spellStart"/>
      <w:r w:rsidR="00E771E5" w:rsidRPr="001A4C8C">
        <w:rPr>
          <w:rFonts w:eastAsia="Times New Roman"/>
          <w:lang w:val="es-ES"/>
        </w:rPr>
        <w:t>Netherlands</w:t>
      </w:r>
      <w:proofErr w:type="spellEnd"/>
      <w:r w:rsidR="00E771E5" w:rsidRPr="001A4C8C">
        <w:rPr>
          <w:rFonts w:eastAsia="Times New Roman"/>
          <w:lang w:val="es-ES"/>
        </w:rPr>
        <w:t xml:space="preserve">, </w:t>
      </w:r>
      <w:r w:rsidR="00E771E5" w:rsidRPr="001A4C8C">
        <w:rPr>
          <w:rFonts w:eastAsia="Times New Roman"/>
          <w:vertAlign w:val="superscript"/>
          <w:lang w:val="es-ES"/>
        </w:rPr>
        <w:t>9</w:t>
      </w:r>
      <w:r w:rsidR="00E771E5" w:rsidRPr="001A4C8C">
        <w:rPr>
          <w:rFonts w:eastAsia="Times New Roman"/>
          <w:lang w:val="es-ES"/>
        </w:rPr>
        <w:t xml:space="preserve"> Departamento de Salud Pública, Facultad Medicina, Pontificia Universidad Católica de Chile, </w:t>
      </w:r>
      <w:r w:rsidR="00E771E5" w:rsidRPr="001A4C8C">
        <w:rPr>
          <w:rFonts w:eastAsia="Times New Roman"/>
          <w:vertAlign w:val="superscript"/>
          <w:lang w:val="es-ES"/>
        </w:rPr>
        <w:t>10</w:t>
      </w:r>
      <w:r w:rsidR="00E771E5" w:rsidRPr="001A4C8C">
        <w:rPr>
          <w:rFonts w:eastAsia="Times New Roman"/>
          <w:lang w:val="es-ES"/>
        </w:rPr>
        <w:t xml:space="preserve"> Departamento de Endocrinología, Facultad Medicina, Pontificia Universidad Católica de Chile. CETREN UC Programa de Enfermedades Suprarrenales e Hipertensión Endocrina. </w:t>
      </w:r>
    </w:p>
    <w:p w:rsidR="00E237F0" w:rsidRDefault="00E771E5" w:rsidP="001A4C8C">
      <w:pPr>
        <w:spacing w:after="0" w:line="240" w:lineRule="auto"/>
        <w:rPr>
          <w:rFonts w:eastAsia="Times New Roman" w:cstheme="minorHAnsi"/>
          <w:b/>
          <w:bCs/>
          <w:lang w:val="es-ES"/>
        </w:rPr>
      </w:pPr>
      <w:r w:rsidRPr="001A4C8C">
        <w:rPr>
          <w:rFonts w:eastAsia="Times New Roman" w:cstheme="minorHAnsi"/>
          <w:b/>
          <w:bCs/>
          <w:lang w:val="es-ES"/>
        </w:rPr>
        <w:t xml:space="preserve">Contenido: </w:t>
      </w:r>
    </w:p>
    <w:p w:rsidR="00E237F0" w:rsidRPr="001A4C8C" w:rsidRDefault="00E771E5" w:rsidP="001A4C8C">
      <w:pPr>
        <w:pStyle w:val="NormalWeb"/>
        <w:spacing w:before="0" w:beforeAutospacing="0" w:after="0" w:afterAutospacing="0"/>
        <w:jc w:val="both"/>
        <w:rPr>
          <w:rFonts w:asciiTheme="minorHAnsi" w:hAnsiTheme="minorHAnsi" w:cstheme="minorHAnsi"/>
          <w:sz w:val="22"/>
          <w:szCs w:val="22"/>
          <w:lang w:val="es-ES"/>
        </w:rPr>
      </w:pPr>
      <w:bookmarkStart w:id="0" w:name="_GoBack"/>
      <w:bookmarkEnd w:id="0"/>
      <w:r w:rsidRPr="001A4C8C">
        <w:rPr>
          <w:rFonts w:asciiTheme="minorHAnsi" w:hAnsiTheme="minorHAnsi" w:cstheme="minorHAnsi"/>
          <w:sz w:val="22"/>
          <w:szCs w:val="22"/>
          <w:lang w:val="es-ES"/>
        </w:rPr>
        <w:t xml:space="preserve">Los adenomas suprarrenales (AS) incidentales son muy frecuentes y se asocian a </w:t>
      </w:r>
      <w:proofErr w:type="spellStart"/>
      <w:r w:rsidRPr="001A4C8C">
        <w:rPr>
          <w:rFonts w:asciiTheme="minorHAnsi" w:hAnsiTheme="minorHAnsi" w:cstheme="minorHAnsi"/>
          <w:sz w:val="22"/>
          <w:szCs w:val="22"/>
          <w:lang w:val="es-ES"/>
        </w:rPr>
        <w:t>morbimortalidad</w:t>
      </w:r>
      <w:proofErr w:type="spellEnd"/>
      <w:r w:rsidRPr="001A4C8C">
        <w:rPr>
          <w:rFonts w:asciiTheme="minorHAnsi" w:hAnsiTheme="minorHAnsi" w:cstheme="minorHAnsi"/>
          <w:sz w:val="22"/>
          <w:szCs w:val="22"/>
          <w:lang w:val="es-ES"/>
        </w:rPr>
        <w:t xml:space="preserve"> por hipercortisolismo, sin embargo, la medición del exceso de cortisol es compleja. El test de supresión con dexametasona 1 mg (TSD) requiere de dos días para su realización. El cortisol libre urinario (CLU) es engorroso y </w:t>
      </w:r>
      <w:proofErr w:type="spellStart"/>
      <w:r w:rsidRPr="001A4C8C">
        <w:rPr>
          <w:rFonts w:asciiTheme="minorHAnsi" w:hAnsiTheme="minorHAnsi" w:cstheme="minorHAnsi"/>
          <w:sz w:val="22"/>
          <w:szCs w:val="22"/>
          <w:lang w:val="es-ES"/>
        </w:rPr>
        <w:t>subrecolectado</w:t>
      </w:r>
      <w:proofErr w:type="spellEnd"/>
      <w:r w:rsidRPr="001A4C8C">
        <w:rPr>
          <w:rFonts w:asciiTheme="minorHAnsi" w:hAnsiTheme="minorHAnsi" w:cstheme="minorHAnsi"/>
          <w:sz w:val="22"/>
          <w:szCs w:val="22"/>
          <w:lang w:val="es-ES"/>
        </w:rPr>
        <w:t xml:space="preserve">. El cortisol salival nocturno no es de utilidad en el estudio del hipercortisolismo suprarrenal. Estos test, además, sólo miden concentraciones de cortisol de corto plazo. La medición de cortisol y cortisona en el pelo es de muy fácil recolección y refleja la exposición hormonal por meses, lo que lo hace un examen atractivo para evaluar el exceso de cortisol. </w:t>
      </w:r>
    </w:p>
    <w:p w:rsidR="00E237F0" w:rsidRPr="001A4C8C" w:rsidRDefault="00E771E5" w:rsidP="001A4C8C">
      <w:pPr>
        <w:pStyle w:val="NormalWeb"/>
        <w:spacing w:before="0" w:beforeAutospacing="0" w:after="0" w:afterAutospacing="0"/>
        <w:jc w:val="both"/>
        <w:rPr>
          <w:rFonts w:asciiTheme="minorHAnsi" w:hAnsiTheme="minorHAnsi" w:cstheme="minorHAnsi"/>
          <w:sz w:val="22"/>
          <w:szCs w:val="22"/>
          <w:lang w:val="es-ES"/>
        </w:rPr>
      </w:pPr>
      <w:r w:rsidRPr="001A4C8C">
        <w:rPr>
          <w:rStyle w:val="Textoennegrita"/>
          <w:rFonts w:asciiTheme="minorHAnsi" w:hAnsiTheme="minorHAnsi" w:cstheme="minorHAnsi"/>
          <w:sz w:val="22"/>
          <w:szCs w:val="22"/>
          <w:lang w:val="es-ES"/>
        </w:rPr>
        <w:t xml:space="preserve">Objetivo: </w:t>
      </w:r>
      <w:r w:rsidRPr="001A4C8C">
        <w:rPr>
          <w:rFonts w:asciiTheme="minorHAnsi" w:hAnsiTheme="minorHAnsi" w:cstheme="minorHAnsi"/>
          <w:sz w:val="22"/>
          <w:szCs w:val="22"/>
          <w:lang w:val="es-ES"/>
        </w:rPr>
        <w:t xml:space="preserve">Evaluar si el cortisol y/o cortisona en pelo son de utilidad en el estudio de los adenomas suprarrenales y su relación con variables antropométricas y radiológicas. </w:t>
      </w:r>
    </w:p>
    <w:p w:rsidR="00E237F0" w:rsidRPr="001A4C8C" w:rsidRDefault="00E771E5" w:rsidP="001A4C8C">
      <w:pPr>
        <w:pStyle w:val="NormalWeb"/>
        <w:spacing w:before="0" w:beforeAutospacing="0" w:after="0" w:afterAutospacing="0"/>
        <w:jc w:val="both"/>
        <w:rPr>
          <w:rFonts w:asciiTheme="minorHAnsi" w:hAnsiTheme="minorHAnsi" w:cstheme="minorHAnsi"/>
          <w:sz w:val="22"/>
          <w:szCs w:val="22"/>
          <w:lang w:val="es-ES"/>
        </w:rPr>
      </w:pPr>
      <w:r w:rsidRPr="001A4C8C">
        <w:rPr>
          <w:rStyle w:val="Textoennegrita"/>
          <w:rFonts w:asciiTheme="minorHAnsi" w:hAnsiTheme="minorHAnsi" w:cstheme="minorHAnsi"/>
          <w:sz w:val="22"/>
          <w:szCs w:val="22"/>
          <w:lang w:val="es-ES"/>
        </w:rPr>
        <w:t xml:space="preserve">Diseño experimental: </w:t>
      </w:r>
      <w:r w:rsidRPr="001A4C8C">
        <w:rPr>
          <w:rFonts w:asciiTheme="minorHAnsi" w:hAnsiTheme="minorHAnsi" w:cstheme="minorHAnsi"/>
          <w:sz w:val="22"/>
          <w:szCs w:val="22"/>
          <w:lang w:val="es-ES"/>
        </w:rPr>
        <w:t xml:space="preserve">Cohorte prospectiva desde el 2019 al 2021. </w:t>
      </w:r>
    </w:p>
    <w:p w:rsidR="00E237F0" w:rsidRPr="001A4C8C" w:rsidRDefault="00E771E5" w:rsidP="001A4C8C">
      <w:pPr>
        <w:pStyle w:val="NormalWeb"/>
        <w:spacing w:before="0" w:beforeAutospacing="0" w:after="0" w:afterAutospacing="0"/>
        <w:jc w:val="both"/>
        <w:rPr>
          <w:rFonts w:asciiTheme="minorHAnsi" w:hAnsiTheme="minorHAnsi" w:cstheme="minorHAnsi"/>
          <w:sz w:val="22"/>
          <w:szCs w:val="22"/>
          <w:lang w:val="es-ES"/>
        </w:rPr>
      </w:pPr>
      <w:r w:rsidRPr="001A4C8C">
        <w:rPr>
          <w:rStyle w:val="Textoennegrita"/>
          <w:rFonts w:asciiTheme="minorHAnsi" w:hAnsiTheme="minorHAnsi" w:cstheme="minorHAnsi"/>
          <w:sz w:val="22"/>
          <w:szCs w:val="22"/>
          <w:lang w:val="es-ES"/>
        </w:rPr>
        <w:t xml:space="preserve">Materiales y Métodos: </w:t>
      </w:r>
      <w:r w:rsidRPr="001A4C8C">
        <w:rPr>
          <w:rFonts w:asciiTheme="minorHAnsi" w:hAnsiTheme="minorHAnsi" w:cstheme="minorHAnsi"/>
          <w:sz w:val="22"/>
          <w:szCs w:val="22"/>
          <w:lang w:val="es-ES"/>
        </w:rPr>
        <w:t xml:space="preserve">Se reclutaron 76 adultos consecutivos con AS, edad media 55 años, 73% mujeres. Un radiólogo especializado definió el diagnóstico de adenoma. La volumetría 3D tumoral se midió con software </w:t>
      </w:r>
      <w:proofErr w:type="spellStart"/>
      <w:r w:rsidRPr="001A4C8C">
        <w:rPr>
          <w:rFonts w:asciiTheme="minorHAnsi" w:hAnsiTheme="minorHAnsi" w:cstheme="minorHAnsi"/>
          <w:sz w:val="22"/>
          <w:szCs w:val="22"/>
          <w:lang w:val="es-ES"/>
        </w:rPr>
        <w:t>Osirix</w:t>
      </w:r>
      <w:proofErr w:type="spellEnd"/>
      <w:r w:rsidRPr="001A4C8C">
        <w:rPr>
          <w:rFonts w:asciiTheme="minorHAnsi" w:hAnsiTheme="minorHAnsi" w:cstheme="minorHAnsi"/>
          <w:sz w:val="22"/>
          <w:szCs w:val="22"/>
          <w:lang w:val="es-ES"/>
        </w:rPr>
        <w:t xml:space="preserve">. Se realizó cortisol, ACTH en día 1 antes de las 9 AM y TSD en día 2. Se midió CLU y metabolitos del cortisol en orina de 24 hrs por HPLC-MS/MS. Se tomó muestra de pelo en los 3 cm próximos al cuero cabelludo para medir en pelo cortisol y cortisona libre por HPLC-MS/MS. Se evaluó por correlación de Pearson el cortisol y cortisona en el pelo con variables antropométricas, hormonales y radiológicas. </w:t>
      </w:r>
    </w:p>
    <w:p w:rsidR="00E237F0" w:rsidRPr="001A4C8C" w:rsidRDefault="00E771E5" w:rsidP="001A4C8C">
      <w:pPr>
        <w:pStyle w:val="NormalWeb"/>
        <w:spacing w:before="0" w:beforeAutospacing="0" w:after="0" w:afterAutospacing="0"/>
        <w:jc w:val="both"/>
        <w:rPr>
          <w:rFonts w:asciiTheme="minorHAnsi" w:hAnsiTheme="minorHAnsi" w:cstheme="minorHAnsi"/>
          <w:sz w:val="22"/>
          <w:szCs w:val="22"/>
          <w:lang w:val="es-ES"/>
        </w:rPr>
      </w:pPr>
      <w:r w:rsidRPr="001A4C8C">
        <w:rPr>
          <w:rStyle w:val="Textoennegrita"/>
          <w:rFonts w:asciiTheme="minorHAnsi" w:hAnsiTheme="minorHAnsi" w:cstheme="minorHAnsi"/>
          <w:sz w:val="22"/>
          <w:szCs w:val="22"/>
          <w:lang w:val="es-ES"/>
        </w:rPr>
        <w:t xml:space="preserve">Resultados: </w:t>
      </w:r>
      <w:r w:rsidRPr="001A4C8C">
        <w:rPr>
          <w:rFonts w:asciiTheme="minorHAnsi" w:hAnsiTheme="minorHAnsi" w:cstheme="minorHAnsi"/>
          <w:sz w:val="22"/>
          <w:szCs w:val="22"/>
          <w:lang w:val="es-ES"/>
        </w:rPr>
        <w:t>El promedio del cortisol en el pelo fue de 17,7 pg/mg y el de cortisona fue de 36,9 pg/</w:t>
      </w:r>
      <w:proofErr w:type="spellStart"/>
      <w:r w:rsidRPr="001A4C8C">
        <w:rPr>
          <w:rFonts w:asciiTheme="minorHAnsi" w:hAnsiTheme="minorHAnsi" w:cstheme="minorHAnsi"/>
          <w:sz w:val="22"/>
          <w:szCs w:val="22"/>
          <w:lang w:val="es-ES"/>
        </w:rPr>
        <w:t>mg.</w:t>
      </w:r>
      <w:proofErr w:type="spellEnd"/>
      <w:r w:rsidRPr="001A4C8C">
        <w:rPr>
          <w:rFonts w:asciiTheme="minorHAnsi" w:hAnsiTheme="minorHAnsi" w:cstheme="minorHAnsi"/>
          <w:sz w:val="22"/>
          <w:szCs w:val="22"/>
          <w:lang w:val="es-ES"/>
        </w:rPr>
        <w:t xml:space="preserve"> Tanto cortisol como cortisona no se correlacionaron significativamente con IMC, presión arterial sistólica ni ACTH. El cortisol en el pelo mostró asociación significativa con la edad (r=0.3 p=0,022), el índice de </w:t>
      </w:r>
      <w:proofErr w:type="spellStart"/>
      <w:r w:rsidRPr="001A4C8C">
        <w:rPr>
          <w:rFonts w:asciiTheme="minorHAnsi" w:hAnsiTheme="minorHAnsi" w:cstheme="minorHAnsi"/>
          <w:sz w:val="22"/>
          <w:szCs w:val="22"/>
          <w:lang w:val="es-ES"/>
        </w:rPr>
        <w:t>comorbilidad</w:t>
      </w:r>
      <w:proofErr w:type="spellEnd"/>
      <w:r w:rsidRPr="001A4C8C">
        <w:rPr>
          <w:rFonts w:asciiTheme="minorHAnsi" w:hAnsiTheme="minorHAnsi" w:cstheme="minorHAnsi"/>
          <w:sz w:val="22"/>
          <w:szCs w:val="22"/>
          <w:lang w:val="es-ES"/>
        </w:rPr>
        <w:t xml:space="preserve"> de </w:t>
      </w:r>
      <w:proofErr w:type="spellStart"/>
      <w:r w:rsidRPr="001A4C8C">
        <w:rPr>
          <w:rFonts w:asciiTheme="minorHAnsi" w:hAnsiTheme="minorHAnsi" w:cstheme="minorHAnsi"/>
          <w:sz w:val="22"/>
          <w:szCs w:val="22"/>
          <w:lang w:val="es-ES"/>
        </w:rPr>
        <w:t>Charlson</w:t>
      </w:r>
      <w:proofErr w:type="spellEnd"/>
      <w:r w:rsidRPr="001A4C8C">
        <w:rPr>
          <w:rFonts w:asciiTheme="minorHAnsi" w:hAnsiTheme="minorHAnsi" w:cstheme="minorHAnsi"/>
          <w:sz w:val="22"/>
          <w:szCs w:val="22"/>
          <w:lang w:val="es-ES"/>
        </w:rPr>
        <w:t xml:space="preserve"> (r=0.3 p=0,008) y cortisol basal (r=0.031 p=0.04). El grupo con TSD &gt; 1.8 ug/dL presentaba mayor cortisol en el pelo que los no funcionantes (34,5 vs 6,3 pg/mg, p=0,021). La cortisona en pelo mostró asociación significativa con dosis diaria de antihipertensivos (r=0.342 p=0.002), CLU (r=0.7 p= &lt;0.001) y con la suma de metabolitos de cortisol en orina (r= 0.5 p=0.001). Además, el ratio cortisol/cortisona en pelo mostró asociación significativa con volumen tumoral (r=0.932 p=0.001), siendo mejor que TSD y CLU. </w:t>
      </w:r>
    </w:p>
    <w:p w:rsidR="00E237F0" w:rsidRPr="001A4C8C" w:rsidRDefault="00E771E5" w:rsidP="001A4C8C">
      <w:pPr>
        <w:pStyle w:val="NormalWeb"/>
        <w:spacing w:before="0" w:beforeAutospacing="0" w:after="0" w:afterAutospacing="0"/>
        <w:jc w:val="both"/>
        <w:rPr>
          <w:rFonts w:asciiTheme="minorHAnsi" w:hAnsiTheme="minorHAnsi" w:cstheme="minorHAnsi"/>
          <w:sz w:val="22"/>
          <w:szCs w:val="22"/>
          <w:lang w:val="es-ES"/>
        </w:rPr>
      </w:pPr>
      <w:r w:rsidRPr="001A4C8C">
        <w:rPr>
          <w:rStyle w:val="Textoennegrita"/>
          <w:rFonts w:asciiTheme="minorHAnsi" w:hAnsiTheme="minorHAnsi" w:cstheme="minorHAnsi"/>
          <w:sz w:val="22"/>
          <w:szCs w:val="22"/>
          <w:lang w:val="es-ES"/>
        </w:rPr>
        <w:t xml:space="preserve">Conclusiones: </w:t>
      </w:r>
      <w:r w:rsidRPr="001A4C8C">
        <w:rPr>
          <w:rFonts w:asciiTheme="minorHAnsi" w:hAnsiTheme="minorHAnsi" w:cstheme="minorHAnsi"/>
          <w:sz w:val="22"/>
          <w:szCs w:val="22"/>
          <w:lang w:val="es-ES"/>
        </w:rPr>
        <w:t>La medición de cortisol y cortisona en pelo es un método útil en el estudio y diagnóstico de los pacientes con hipercortisolismo suprarrenal. La medición de hormonas libres en el pelo otorga información integral de meses de secreción, sin efecto de fármacos, que es muy relevante del punto de vista diagnóstico y seguimiento. Este estudio piloto demuestra que el cortisol y cortisona en pelo podrían ser una nueva herramienta diagnóstica para evaluar exceso de cortisol suprarrenal.</w:t>
      </w:r>
    </w:p>
    <w:p w:rsidR="00E771E5" w:rsidRPr="001A4C8C" w:rsidRDefault="00E771E5" w:rsidP="001A4C8C">
      <w:pPr>
        <w:spacing w:after="0" w:line="240" w:lineRule="auto"/>
        <w:rPr>
          <w:rFonts w:eastAsia="Times New Roman" w:cstheme="minorHAnsi"/>
        </w:rPr>
      </w:pPr>
      <w:r w:rsidRPr="001A4C8C">
        <w:rPr>
          <w:rFonts w:eastAsia="Times New Roman" w:cstheme="minorHAnsi"/>
          <w:b/>
          <w:bCs/>
        </w:rPr>
        <w:t xml:space="preserve">Financiamiento: </w:t>
      </w:r>
      <w:r w:rsidRPr="001A4C8C">
        <w:rPr>
          <w:rFonts w:eastAsia="Times New Roman" w:cstheme="minorHAnsi"/>
        </w:rPr>
        <w:t xml:space="preserve">Fondecyt 1190419, </w:t>
      </w:r>
      <w:proofErr w:type="spellStart"/>
      <w:r w:rsidRPr="001A4C8C">
        <w:rPr>
          <w:rFonts w:eastAsia="Times New Roman" w:cstheme="minorHAnsi"/>
        </w:rPr>
        <w:t>Anillo</w:t>
      </w:r>
      <w:proofErr w:type="spellEnd"/>
      <w:r w:rsidRPr="001A4C8C">
        <w:rPr>
          <w:rFonts w:eastAsia="Times New Roman" w:cstheme="minorHAnsi"/>
        </w:rPr>
        <w:t xml:space="preserve"> ACT210039. </w:t>
      </w:r>
    </w:p>
    <w:sectPr w:rsidR="00E771E5" w:rsidRPr="001A4C8C" w:rsidSect="00CA60B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BC4955"/>
    <w:rsid w:val="001A4C8C"/>
    <w:rsid w:val="006F76D6"/>
    <w:rsid w:val="00821F4F"/>
    <w:rsid w:val="00BC4955"/>
    <w:rsid w:val="00CA60B8"/>
    <w:rsid w:val="00D856A4"/>
    <w:rsid w:val="00E237F0"/>
    <w:rsid w:val="00E771E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60B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CA60B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3</cp:revision>
  <dcterms:created xsi:type="dcterms:W3CDTF">2022-10-19T15:18:00Z</dcterms:created>
  <dcterms:modified xsi:type="dcterms:W3CDTF">2022-10-19T15:19:00Z</dcterms:modified>
</cp:coreProperties>
</file>