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50" w:rsidRPr="00C00350" w:rsidRDefault="00647B50" w:rsidP="00C00350">
      <w:pPr>
        <w:spacing w:after="0" w:line="240" w:lineRule="auto"/>
        <w:rPr>
          <w:rStyle w:val="Textoennegrita"/>
          <w:rFonts w:ascii="Times New Roman" w:hAnsi="Times New Roman" w:cs="Times New Roman"/>
          <w:sz w:val="24"/>
          <w:szCs w:val="24"/>
        </w:rPr>
      </w:pPr>
      <w:r>
        <w:rPr>
          <w:rFonts w:eastAsia="Times New Roman"/>
          <w:b/>
        </w:rPr>
        <w:t>P 99</w:t>
      </w:r>
      <w:r w:rsidR="00E51912" w:rsidRPr="00C00350">
        <w:rPr>
          <w:rFonts w:eastAsia="Times New Roman"/>
          <w:b/>
        </w:rPr>
        <w:br/>
        <w:t>OFTALMOPATÍA DE GRAVES EN EDAD PEDIÁTRICA. REVISIÓN DE LA LITERATURA Y REPORTE DE 5 CASOS</w:t>
      </w:r>
      <w:r w:rsidR="00E51912" w:rsidRPr="00C00350">
        <w:rPr>
          <w:rFonts w:eastAsia="Times New Roman"/>
          <w:b/>
        </w:rPr>
        <w:br/>
      </w:r>
      <w:r w:rsidR="00E51912" w:rsidRPr="00C00350">
        <w:rPr>
          <w:rFonts w:ascii="Times New Roman" w:eastAsia="Times New Roman" w:hAnsi="Times New Roman" w:cs="Times New Roman"/>
          <w:sz w:val="24"/>
          <w:szCs w:val="24"/>
        </w:rPr>
        <w:t xml:space="preserve">Jorge </w:t>
      </w:r>
      <w:proofErr w:type="spellStart"/>
      <w:r w:rsidR="00E51912" w:rsidRPr="00C00350">
        <w:rPr>
          <w:rFonts w:ascii="Times New Roman" w:eastAsia="Times New Roman" w:hAnsi="Times New Roman" w:cs="Times New Roman"/>
          <w:sz w:val="24"/>
          <w:szCs w:val="24"/>
        </w:rPr>
        <w:t>Klagges</w:t>
      </w:r>
      <w:proofErr w:type="spellEnd"/>
      <w:r w:rsidR="00E51912" w:rsidRPr="00C00350">
        <w:rPr>
          <w:rFonts w:ascii="Times New Roman" w:eastAsia="Times New Roman" w:hAnsi="Times New Roman" w:cs="Times New Roman"/>
          <w:sz w:val="24"/>
          <w:szCs w:val="24"/>
        </w:rPr>
        <w:t xml:space="preserve"> Troncoso</w:t>
      </w:r>
      <w:r w:rsidR="00E51912" w:rsidRPr="00C00350">
        <w:rPr>
          <w:rFonts w:ascii="Times New Roman" w:eastAsia="Times New Roman" w:hAnsi="Times New Roman" w:cs="Times New Roman"/>
          <w:sz w:val="24"/>
          <w:szCs w:val="24"/>
          <w:vertAlign w:val="superscript"/>
        </w:rPr>
        <w:t>1</w:t>
      </w:r>
      <w:r w:rsidR="00E51912" w:rsidRPr="00C00350">
        <w:rPr>
          <w:rFonts w:ascii="Times New Roman" w:eastAsia="Times New Roman" w:hAnsi="Times New Roman" w:cs="Times New Roman"/>
          <w:sz w:val="24"/>
          <w:szCs w:val="24"/>
        </w:rPr>
        <w:t>, Benjamín Riesco Urrejola</w:t>
      </w:r>
      <w:r w:rsidR="00E51912" w:rsidRPr="00C00350">
        <w:rPr>
          <w:rFonts w:ascii="Times New Roman" w:eastAsia="Times New Roman" w:hAnsi="Times New Roman" w:cs="Times New Roman"/>
          <w:sz w:val="24"/>
          <w:szCs w:val="24"/>
          <w:vertAlign w:val="superscript"/>
        </w:rPr>
        <w:t>2</w:t>
      </w:r>
      <w:r w:rsidR="00E51912" w:rsidRPr="00C00350">
        <w:rPr>
          <w:rFonts w:ascii="Times New Roman" w:eastAsia="Times New Roman" w:hAnsi="Times New Roman" w:cs="Times New Roman"/>
          <w:sz w:val="24"/>
          <w:szCs w:val="24"/>
        </w:rPr>
        <w:br/>
      </w:r>
      <w:r w:rsidR="00E51912" w:rsidRPr="00C0035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E</w:t>
      </w:r>
      <w:r w:rsidR="00E51912" w:rsidRPr="00C00350">
        <w:rPr>
          <w:rFonts w:ascii="Times New Roman" w:eastAsia="Times New Roman" w:hAnsi="Times New Roman" w:cs="Times New Roman"/>
          <w:sz w:val="24"/>
          <w:szCs w:val="24"/>
        </w:rPr>
        <w:t xml:space="preserve">studiante de Medicina, Universidad de Santiago, </w:t>
      </w:r>
      <w:r w:rsidR="00E51912" w:rsidRPr="00C00350">
        <w:rPr>
          <w:rFonts w:ascii="Times New Roman" w:eastAsia="Times New Roman" w:hAnsi="Times New Roman" w:cs="Times New Roman"/>
          <w:sz w:val="24"/>
          <w:szCs w:val="24"/>
          <w:vertAlign w:val="superscript"/>
        </w:rPr>
        <w:t>2</w:t>
      </w:r>
      <w:r w:rsidR="00E51912" w:rsidRPr="00C00350">
        <w:rPr>
          <w:rFonts w:ascii="Times New Roman" w:eastAsia="Times New Roman" w:hAnsi="Times New Roman" w:cs="Times New Roman"/>
          <w:sz w:val="24"/>
          <w:szCs w:val="24"/>
        </w:rPr>
        <w:t xml:space="preserve">Oftalmólogo y Cirujano </w:t>
      </w:r>
      <w:proofErr w:type="spellStart"/>
      <w:r w:rsidR="00E51912" w:rsidRPr="00C00350">
        <w:rPr>
          <w:rFonts w:ascii="Times New Roman" w:eastAsia="Times New Roman" w:hAnsi="Times New Roman" w:cs="Times New Roman"/>
          <w:sz w:val="24"/>
          <w:szCs w:val="24"/>
        </w:rPr>
        <w:t>Oculoplástico</w:t>
      </w:r>
      <w:proofErr w:type="spellEnd"/>
      <w:r w:rsidR="00E51912" w:rsidRPr="00C00350">
        <w:rPr>
          <w:rFonts w:ascii="Times New Roman" w:eastAsia="Times New Roman" w:hAnsi="Times New Roman" w:cs="Times New Roman"/>
          <w:sz w:val="24"/>
          <w:szCs w:val="24"/>
        </w:rPr>
        <w:t>, Hospital del Salvador, Clínica Oftalmológica MIRA y Clínica Oftalmológica IOPA</w:t>
      </w:r>
      <w:r w:rsidR="00E51912" w:rsidRPr="00C00350">
        <w:rPr>
          <w:rFonts w:ascii="Times New Roman" w:eastAsia="Times New Roman" w:hAnsi="Times New Roman" w:cs="Times New Roman"/>
          <w:sz w:val="24"/>
          <w:szCs w:val="24"/>
        </w:rPr>
        <w:br/>
      </w:r>
    </w:p>
    <w:p w:rsidR="00941ED8" w:rsidRPr="00C00350" w:rsidRDefault="00E51912" w:rsidP="00C00350">
      <w:pPr>
        <w:spacing w:after="0" w:line="240" w:lineRule="auto"/>
        <w:rPr>
          <w:rFonts w:ascii="Times New Roman" w:hAnsi="Times New Roman" w:cs="Times New Roman"/>
          <w:sz w:val="24"/>
          <w:szCs w:val="24"/>
        </w:rPr>
      </w:pPr>
      <w:r w:rsidRPr="00C00350">
        <w:rPr>
          <w:rStyle w:val="Textoennegrita"/>
          <w:rFonts w:ascii="Times New Roman" w:hAnsi="Times New Roman" w:cs="Times New Roman"/>
          <w:sz w:val="24"/>
          <w:szCs w:val="24"/>
        </w:rPr>
        <w:t>Introducción</w:t>
      </w:r>
    </w:p>
    <w:p w:rsidR="00941ED8" w:rsidRPr="00C00350" w:rsidRDefault="00E51912" w:rsidP="00C00350">
      <w:pPr>
        <w:pStyle w:val="NormalWeb"/>
        <w:spacing w:before="0" w:beforeAutospacing="0" w:after="0" w:afterAutospacing="0"/>
        <w:jc w:val="both"/>
      </w:pPr>
      <w:r w:rsidRPr="00C00350">
        <w:t xml:space="preserve">La Enfermedad de Graves (EG) es un síndrome que puede presentar hiper, hipo o eutiroidismo, bocio, </w:t>
      </w:r>
      <w:proofErr w:type="spellStart"/>
      <w:r w:rsidRPr="00C00350">
        <w:t>oftalmopatía</w:t>
      </w:r>
      <w:proofErr w:type="spellEnd"/>
      <w:r w:rsidRPr="00C00350">
        <w:t xml:space="preserve"> y en ocasiones mixedema </w:t>
      </w:r>
      <w:proofErr w:type="spellStart"/>
      <w:r w:rsidRPr="00C00350">
        <w:t>pretibial</w:t>
      </w:r>
      <w:proofErr w:type="spellEnd"/>
      <w:r w:rsidRPr="00C00350">
        <w:t xml:space="preserve">, ocasionado por la formación de autoanticuerpos que activan el receptor de hormona estimulante tiroidea (RTSH) a nivel glandular. La EG es la causa más común de hipertiroidismo en edad pediátrica, siendo relevante tener en cuenta sus manifestaciones extratiroideas. La </w:t>
      </w:r>
      <w:proofErr w:type="spellStart"/>
      <w:r w:rsidRPr="00C00350">
        <w:t>Oftalmopatía</w:t>
      </w:r>
      <w:proofErr w:type="spellEnd"/>
      <w:r w:rsidRPr="00C00350">
        <w:t xml:space="preserve"> de Graves (OG) ocurre cuando los autoanticuerpos activan el RTSH a nivel de los fibroblastos orbitarios. Puede distinguirse una fase activa, donde se reconoce la clínica característica (</w:t>
      </w:r>
      <w:proofErr w:type="spellStart"/>
      <w:r w:rsidRPr="00C00350">
        <w:t>exfoltamos</w:t>
      </w:r>
      <w:proofErr w:type="spellEnd"/>
      <w:r w:rsidRPr="00C00350">
        <w:t xml:space="preserve">, retracción palpebral, edema </w:t>
      </w:r>
      <w:proofErr w:type="spellStart"/>
      <w:r w:rsidRPr="00C00350">
        <w:t>periocular</w:t>
      </w:r>
      <w:proofErr w:type="spellEnd"/>
      <w:r w:rsidRPr="00C00350">
        <w:t>) y una fase residual, en la que aparecen las secuelas. La categorización del paciente juega un rol central en la elección del manejo, para ello existen diferentes modelos. La clasificación VISA define el tratamiento a través del análisis paso a paso de la visión, signos de actividad, motilidad ocular y estética.</w:t>
      </w:r>
    </w:p>
    <w:p w:rsidR="00941ED8" w:rsidRPr="00C00350" w:rsidRDefault="00E51912" w:rsidP="00C00350">
      <w:pPr>
        <w:pStyle w:val="NormalWeb"/>
        <w:spacing w:before="0" w:beforeAutospacing="0" w:after="0" w:afterAutospacing="0"/>
        <w:jc w:val="both"/>
      </w:pPr>
      <w:r w:rsidRPr="00C00350">
        <w:rPr>
          <w:rStyle w:val="Textoennegrita"/>
        </w:rPr>
        <w:t>Objetivo</w:t>
      </w:r>
    </w:p>
    <w:p w:rsidR="00941ED8" w:rsidRPr="00C00350" w:rsidRDefault="00E51912" w:rsidP="00C00350">
      <w:pPr>
        <w:pStyle w:val="NormalWeb"/>
        <w:spacing w:before="0" w:beforeAutospacing="0" w:after="0" w:afterAutospacing="0"/>
        <w:jc w:val="both"/>
      </w:pPr>
      <w:r w:rsidRPr="00C00350">
        <w:t>Describir las manifestaciones clínicas, el manejo y la evolución de 5 pacientes pediátricos con OG, con revisión bibliográfica.</w:t>
      </w:r>
    </w:p>
    <w:p w:rsidR="00941ED8" w:rsidRPr="00C00350" w:rsidRDefault="00E51912" w:rsidP="00C00350">
      <w:pPr>
        <w:pStyle w:val="NormalWeb"/>
        <w:spacing w:before="0" w:beforeAutospacing="0" w:after="0" w:afterAutospacing="0"/>
        <w:jc w:val="both"/>
      </w:pPr>
      <w:r w:rsidRPr="00C00350">
        <w:rPr>
          <w:rStyle w:val="Textoennegrita"/>
        </w:rPr>
        <w:t>Método</w:t>
      </w:r>
    </w:p>
    <w:p w:rsidR="00941ED8" w:rsidRPr="00C00350" w:rsidRDefault="00E51912" w:rsidP="00C00350">
      <w:pPr>
        <w:pStyle w:val="NormalWeb"/>
        <w:spacing w:before="0" w:beforeAutospacing="0" w:after="0" w:afterAutospacing="0"/>
        <w:jc w:val="both"/>
      </w:pPr>
      <w:r w:rsidRPr="00C00350">
        <w:t>Revisión retrospectiva de 5 casos evaluados entre los años 2012 al 2017.</w:t>
      </w:r>
    </w:p>
    <w:p w:rsidR="00941ED8" w:rsidRPr="00C00350" w:rsidRDefault="00E51912" w:rsidP="00C00350">
      <w:pPr>
        <w:pStyle w:val="NormalWeb"/>
        <w:spacing w:before="0" w:beforeAutospacing="0" w:after="0" w:afterAutospacing="0"/>
        <w:jc w:val="both"/>
      </w:pPr>
      <w:r w:rsidRPr="00C00350">
        <w:rPr>
          <w:rStyle w:val="Textoennegrita"/>
        </w:rPr>
        <w:t>Resultados</w:t>
      </w:r>
    </w:p>
    <w:p w:rsidR="00941ED8" w:rsidRPr="00C00350" w:rsidRDefault="00E51912" w:rsidP="00C00350">
      <w:pPr>
        <w:pStyle w:val="NormalWeb"/>
        <w:spacing w:before="0" w:beforeAutospacing="0" w:after="0" w:afterAutospacing="0"/>
        <w:jc w:val="both"/>
      </w:pPr>
      <w:r w:rsidRPr="00C00350">
        <w:t xml:space="preserve">Evaluamos 5 mujeres entre 4 a 14 años (10 promedio). El índice de actividad fue de 3 puntos en promedio. El 80% de las pacientes presentó compromiso de la agudeza visual, pero sin neuropatía óptica. Respecto a los signos inflamatorios, los más comunes fueron el dolor </w:t>
      </w:r>
      <w:proofErr w:type="spellStart"/>
      <w:r w:rsidRPr="00C00350">
        <w:t>retroocular</w:t>
      </w:r>
      <w:proofErr w:type="spellEnd"/>
      <w:r w:rsidRPr="00C00350">
        <w:t xml:space="preserve"> (60%) y la inyección conjuntival (60%), mientras que la retracción palpebral (100%) y el exoftalmos (100%) fueron los síntomas estéticos frecuentes. Ninguna paciente presentó alteraciones de la motilidad ocular. Todas las pacientes fueron manejadas con terapia </w:t>
      </w:r>
      <w:proofErr w:type="spellStart"/>
      <w:r w:rsidRPr="00C00350">
        <w:t>antitiroidea</w:t>
      </w:r>
      <w:proofErr w:type="spellEnd"/>
      <w:r w:rsidRPr="00C00350">
        <w:t>, sin embargo, 2 requirieron el uso de corticoides y durante el seguimiento (5 años promedio), una de las pacientes necesitó cirugía.</w:t>
      </w:r>
    </w:p>
    <w:p w:rsidR="00941ED8" w:rsidRPr="00C00350" w:rsidRDefault="00E51912" w:rsidP="00C00350">
      <w:pPr>
        <w:pStyle w:val="NormalWeb"/>
        <w:spacing w:before="0" w:beforeAutospacing="0" w:after="0" w:afterAutospacing="0"/>
        <w:jc w:val="both"/>
      </w:pPr>
      <w:r w:rsidRPr="00C00350">
        <w:rPr>
          <w:rStyle w:val="Textoennegrita"/>
        </w:rPr>
        <w:t>Discusión</w:t>
      </w:r>
    </w:p>
    <w:p w:rsidR="00941ED8" w:rsidRPr="00C00350" w:rsidRDefault="00E51912" w:rsidP="00C00350">
      <w:pPr>
        <w:pStyle w:val="NormalWeb"/>
        <w:spacing w:before="0" w:beforeAutospacing="0" w:after="0" w:afterAutospacing="0"/>
        <w:jc w:val="both"/>
      </w:pPr>
      <w:r w:rsidRPr="00C00350">
        <w:t xml:space="preserve">Nuestros resultados muestran que la OG en edad pediátrica es </w:t>
      </w:r>
      <w:proofErr w:type="gramStart"/>
      <w:r w:rsidRPr="00C00350">
        <w:t>mas</w:t>
      </w:r>
      <w:proofErr w:type="gramEnd"/>
      <w:r w:rsidRPr="00C00350">
        <w:t xml:space="preserve"> prevalente en el sexo femenino. Considerando la </w:t>
      </w:r>
      <w:proofErr w:type="spellStart"/>
      <w:r w:rsidRPr="00C00350">
        <w:t>recomendacion</w:t>
      </w:r>
      <w:proofErr w:type="spellEnd"/>
      <w:r w:rsidRPr="00C00350">
        <w:t xml:space="preserve"> de la EUGOGO, la primera medida </w:t>
      </w:r>
      <w:proofErr w:type="spellStart"/>
      <w:r w:rsidRPr="00C00350">
        <w:t>terapeutica</w:t>
      </w:r>
      <w:proofErr w:type="spellEnd"/>
      <w:r w:rsidRPr="00C00350">
        <w:t xml:space="preserve"> fue </w:t>
      </w:r>
      <w:proofErr w:type="spellStart"/>
      <w:r w:rsidRPr="00C00350">
        <w:t>reestablecer</w:t>
      </w:r>
      <w:proofErr w:type="spellEnd"/>
      <w:r w:rsidRPr="00C00350">
        <w:t xml:space="preserve"> el estado eutiroideo, siendo suficiente en 3 pacientes. En nuestra serie, 2 pacientes necesitaron la administración de corticoides debido a los signos de actividad (&gt;3); en un caso se trató con inyecciones </w:t>
      </w:r>
      <w:proofErr w:type="spellStart"/>
      <w:r w:rsidRPr="00C00350">
        <w:t>intraorbitarias</w:t>
      </w:r>
      <w:proofErr w:type="spellEnd"/>
      <w:r w:rsidRPr="00C00350">
        <w:t xml:space="preserve"> y en otro con inyecciones </w:t>
      </w:r>
      <w:proofErr w:type="spellStart"/>
      <w:r w:rsidRPr="00C00350">
        <w:t>endovenosas</w:t>
      </w:r>
      <w:proofErr w:type="spellEnd"/>
      <w:r w:rsidRPr="00C00350">
        <w:t xml:space="preserve"> de metilprednisolona.</w:t>
      </w:r>
    </w:p>
    <w:p w:rsidR="00941ED8" w:rsidRPr="00C00350" w:rsidRDefault="00E51912" w:rsidP="00C00350">
      <w:pPr>
        <w:pStyle w:val="NormalWeb"/>
        <w:spacing w:before="0" w:beforeAutospacing="0" w:after="0" w:afterAutospacing="0"/>
        <w:jc w:val="both"/>
      </w:pPr>
      <w:r w:rsidRPr="00C00350">
        <w:t xml:space="preserve">En fase residual, las secuelas (estrabismo restrictivo, retracción palpebral o exoftalmos) serán de resorte del oftalmólogo </w:t>
      </w:r>
      <w:proofErr w:type="spellStart"/>
      <w:r w:rsidRPr="00C00350">
        <w:t>oculoplástico</w:t>
      </w:r>
      <w:proofErr w:type="spellEnd"/>
      <w:r w:rsidRPr="00C00350">
        <w:t xml:space="preserve"> para lograr restaurar la mirada, en tres pasos quirúrgicos (descompresión orbitaria, estrabismo y cirugía palpebral).</w:t>
      </w:r>
    </w:p>
    <w:p w:rsidR="00E51912" w:rsidRPr="00C00350" w:rsidRDefault="00E51912" w:rsidP="00C00350">
      <w:pPr>
        <w:pStyle w:val="NormalWeb"/>
        <w:spacing w:before="0" w:beforeAutospacing="0" w:after="0" w:afterAutospacing="0"/>
        <w:jc w:val="both"/>
      </w:pPr>
      <w:r w:rsidRPr="00C00350">
        <w:t>De tal forma, el reconocimiento precoz y las medidas iniciales por parte del endocrinólogo resultan suficientes para el manejo de la fase aguda en la mayoría de casos, pero en cuadros activos las complicaciones de la mirada pueden ser prevenidas con uso temprano de corticoides.</w:t>
      </w:r>
    </w:p>
    <w:sectPr w:rsidR="00E51912" w:rsidRPr="00C00350" w:rsidSect="00941ED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1C06"/>
    <w:rsid w:val="00151C06"/>
    <w:rsid w:val="005844EE"/>
    <w:rsid w:val="00647B50"/>
    <w:rsid w:val="0066505E"/>
    <w:rsid w:val="00941ED8"/>
    <w:rsid w:val="00C00350"/>
    <w:rsid w:val="00E519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ED8"/>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941E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2017-08-24T22:58:00Z</cp:lastPrinted>
  <dcterms:created xsi:type="dcterms:W3CDTF">2017-10-09T16:33:00Z</dcterms:created>
  <dcterms:modified xsi:type="dcterms:W3CDTF">2017-10-09T16:33:00Z</dcterms:modified>
</cp:coreProperties>
</file>